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w10="urn:schemas-microsoft-com:office:word" xmlns:w="http://schemas.openxmlformats.org/wordprocessingml/2006/main" xmlns:v="urn:schemas-microsoft-com:vml" xmlns:wne="http://schemas.microsoft.com/office/word/2006/wordml">
  <w:body>
    <w:tbl>
      <w:tblPr>
        <w:tblStyle w:val="TableStyle0"/>
        <w:tblLayout w:type="fixed"/>
        <w:tblW w:w="0" w:type="auto"/>
        <w:tblLook w:val="04A0"/>
      </w:tblPr>
      <w:tblGrid>
        <w:gridCol w:w="1050"/>
        <w:gridCol w:w="525"/>
        <w:gridCol w:w="263"/>
        <w:gridCol w:w="263"/>
        <w:gridCol w:w="525"/>
        <w:gridCol w:w="525"/>
        <w:gridCol w:w="1050"/>
        <w:gridCol w:w="525"/>
        <w:gridCol w:w="1365"/>
        <w:gridCol w:w="1365"/>
        <w:gridCol w:w="1365"/>
        <w:gridCol w:w="1365"/>
        <w:gridCol w:w="1365"/>
        <w:gridCol w:w="1365"/>
        <w:gridCol w:w="1365"/>
        <w:gridCol w:w="1365"/>
        <w:gridCol w:w="0"/>
      </w:tblGrid>
      <w:tr>
        <w:tc>
          <w:tcPr>
            <w:gridSpan w:val="7"/>
            <w:tcW w:w="4201" w:type="dxa"/>
            <w:vAlign w:val="top"/>
            <w:shd w:val="clear" w:color="FFFFFF" w:fill="#fffbf0"/>
            <w:tcBorders>
              <w:left w:val="single" w:sz="5" w:space="0" w:color="#b3ac86"/>
              <w:bottom w:val="single" w:sz="5" w:space="0" w:color="#b3ac86"/>
            </w:tcBorders>
            <w:pPr>
              <w:jc w:val="left"/>
            </w:pPr>
          </w:tcPr>
          <w:p>
            <w:pPr>
              <w:pStyle w:val="1CStyle-1"/>
            </w:pPr>
            <w:r>
              <w:t>АКТИВ</w:t>
            </w:r>
          </w:p>
        </w:tc>
        <w:tc>
          <w:tcPr>
            <w:tcW w:w="525" w:type="dxa"/>
            <w:vAlign w:val="top"/>
            <w:shd w:val="clear" w:color="FFFFFF" w:fill="#fffbf0"/>
            <w:tcBorders>
              <w:left w:val="single" w:sz="5" w:space="0" w:color="#b3ac86"/>
              <w:bottom w:val="single" w:sz="5" w:space="0" w:color="#b3ac86"/>
            </w:tcBorders>
            <w:pPr>
              <w:jc w:val="center"/>
            </w:pPr>
          </w:tcPr>
          <w:p>
            <w:pPr>
              <w:pStyle w:val="1CStyle0"/>
            </w:pPr>
            <w:r>
              <w:t>410</w:t>
            </w:r>
          </w:p>
        </w:tc>
        <w:tc>
          <w:tcPr>
            <w:tcW w:w="1365" w:type="dxa"/>
            <w:vAlign w:val="top"/>
            <w:shd w:val="clear" w:color="FFFFFF" w:fill="#fffcd8"/>
            <w:tcBorders>
              <w:left w:val="single" w:sz="5" w:space="0" w:color="#b3ac86"/>
              <w:bottom w:val="single" w:sz="5" w:space="0" w:color="#b3ac86"/>
            </w:tcBorders>
            <w:pPr>
              <w:jc w:val="right"/>
            </w:pPr>
          </w:tcPr>
          <w:p>
            <w:pPr>
              <w:pStyle w:val="1CStyle1"/>
            </w:pPr>
            <w:r>
              <w:t>32 010,00</w:t>
            </w:r>
          </w:p>
        </w:tc>
        <w:tc>
          <w:tcPr>
            <w:tcW w:w="1365" w:type="dxa"/>
            <w:vAlign w:val="top"/>
            <w:shd w:val="clear" w:color="FFFFFF" w:fill="#fffcd8"/>
            <w:tcBorders>
              <w:left w:val="single" w:sz="5" w:space="0" w:color="#b3ac86"/>
              <w:bottom w:val="single" w:sz="5" w:space="0" w:color="#b3ac86"/>
            </w:tcBorders>
            <w:pPr>
              <w:jc w:val="right"/>
            </w:pPr>
          </w:tcPr>
          <w:p>
            <w:pPr>
              <w:pStyle w:val="1CStyle1"/>
            </w:pPr>
            <w:r>
              <w:t>1 509 247,44</w:t>
            </w:r>
          </w:p>
        </w:tc>
        <w:tc>
          <w:tcPr>
            <w:tcW w:w="1365" w:type="dxa"/>
            <w:vAlign w:val="top"/>
            <w:shd w:val="clear" w:color="FFFFFF" w:fill="#fffcd8"/>
            <w:tcBorders>
              <w:left w:val="single" w:sz="5" w:space="0" w:color="#b3ac86"/>
              <w:bottom w:val="single" w:sz="5" w:space="0" w:color="#b3ac86"/>
            </w:tcBorders>
            <w:pPr>
              <w:jc w:val="right"/>
            </w:pPr>
          </w:tcPr>
          <w:p>
            <w:pPr>
              <w:pStyle w:val="1CStyle1"/>
            </w:pPr>
            <w:r>
              <w:t>0,00</w:t>
            </w:r>
          </w:p>
        </w:tc>
        <w:tc>
          <w:tcPr>
            <w:tcW w:w="1365" w:type="dxa"/>
            <w:vAlign w:val="top"/>
            <w:shd w:val="clear" w:color="FFFFFF" w:fill="#dfebd8"/>
            <w:tcBorders>
              <w:left w:val="single" w:sz="5" w:space="0" w:color="#b3ac86"/>
              <w:bottom w:val="single" w:sz="5" w:space="0" w:color="#b3ac86"/>
            </w:tcBorders>
            <w:pPr>
              <w:jc w:val="right"/>
            </w:pPr>
          </w:tcPr>
          <w:p>
            <w:pPr>
              <w:pStyle w:val="1CStyle2"/>
            </w:pPr>
            <w:r>
              <w:t>1 541 257,44</w:t>
            </w:r>
          </w:p>
        </w:tc>
        <w:tc>
          <w:tcPr>
            <w:tcW w:w="1365" w:type="dxa"/>
            <w:vAlign w:val="top"/>
            <w:shd w:val="clear" w:color="FFFFFF" w:fill="#fffcd8"/>
            <w:tcBorders>
              <w:left w:val="single" w:sz="5" w:space="0" w:color="#b3ac86"/>
              <w:bottom w:val="single" w:sz="5" w:space="0" w:color="#b3ac86"/>
            </w:tcBorders>
            <w:pPr>
              <w:jc w:val="right"/>
            </w:pPr>
          </w:tcPr>
          <w:p>
            <w:pPr>
              <w:pStyle w:val="1CStyle1"/>
            </w:pPr>
            <w:r>
              <w:t>32 010,00</w:t>
            </w:r>
          </w:p>
        </w:tc>
        <w:tc>
          <w:tcPr>
            <w:tcW w:w="1365" w:type="dxa"/>
            <w:vAlign w:val="top"/>
            <w:shd w:val="clear" w:color="FFFFFF" w:fill="#fffcd8"/>
            <w:tcBorders>
              <w:left w:val="single" w:sz="5" w:space="0" w:color="#b3ac86"/>
              <w:bottom w:val="single" w:sz="5" w:space="0" w:color="#b3ac86"/>
            </w:tcBorders>
            <w:pPr>
              <w:jc w:val="right"/>
            </w:pPr>
          </w:tcPr>
          <w:p>
            <w:pPr>
              <w:pStyle w:val="1CStyle1"/>
            </w:pPr>
            <w:r>
              <w:t>1 317 891,93</w:t>
            </w:r>
          </w:p>
        </w:tc>
        <w:tc>
          <w:tcPr>
            <w:tcW w:w="1365" w:type="dxa"/>
            <w:vAlign w:val="top"/>
            <w:shd w:val="clear" w:color="FFFFFF" w:fill="#fffcd8"/>
            <w:tcBorders>
              <w:left w:val="single" w:sz="5" w:space="0" w:color="#b3ac86"/>
              <w:bottom w:val="single" w:sz="5" w:space="0" w:color="#b3ac86"/>
            </w:tcBorders>
            <w:pPr>
              <w:jc w:val="right"/>
            </w:pPr>
          </w:tcPr>
          <w:p>
            <w:pPr>
              <w:pStyle w:val="1CStyle1"/>
            </w:pPr>
            <w:r>
              <w:t>0,00</w:t>
            </w:r>
          </w:p>
        </w:tc>
        <w:tc>
          <w:tcPr>
            <w:tcW w:w="1365" w:type="dxa"/>
            <w:vAlign w:val="top"/>
            <w:shd w:val="clear" w:color="FFFFFF" w:fill="#dfebd8"/>
            <w:tcBorders>
              <w:left w:val="single" w:sz="5" w:space="0" w:color="#b3ac86"/>
              <w:bottom w:val="single" w:sz="5" w:space="0" w:color="#b3ac86"/>
              <w:right w:val="single" w:sz="5" w:space="0" w:color="#b3ac86"/>
            </w:tcBorders>
            <w:pPr>
              <w:jc w:val="right"/>
            </w:pPr>
          </w:tcPr>
          <w:p>
            <w:pPr>
              <w:pStyle w:val="1CStyle3"/>
            </w:pPr>
            <w:r>
              <w:t>1 349 901,93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bf0"/>
            <w:tcBorders>
              <w:left w:val="single" w:sz="5" w:space="0" w:color="#b3ac86"/>
              <w:bottom w:val="single" w:sz="5" w:space="0" w:color="#b3ac86"/>
            </w:tcBorders>
            <w:pPr>
              <w:jc w:val="left"/>
            </w:pPr>
          </w:tcPr>
          <w:p>
            <w:pPr>
              <w:pStyle w:val="1CStyle-1"/>
            </w:pPr>
            <w:r>
              <w:t>ПАССИВ</w:t>
            </w:r>
          </w:p>
        </w:tc>
        <w:tc>
          <w:tcPr>
            <w:tcW w:w="525" w:type="dxa"/>
            <w:vAlign w:val="top"/>
            <w:shd w:val="clear" w:color="FFFFFF" w:fill="#fffbf0"/>
            <w:tcBorders>
              <w:left w:val="single" w:sz="5" w:space="0" w:color="#b3ac86"/>
              <w:bottom w:val="single" w:sz="5" w:space="0" w:color="#b3ac86"/>
            </w:tcBorders>
            <w:pPr>
              <w:jc w:val="center"/>
            </w:pPr>
          </w:tcPr>
          <w:p>
            <w:pPr>
              <w:pStyle w:val="1CStyle0"/>
            </w:pPr>
            <w:r>
              <w:t>900</w:t>
            </w:r>
          </w:p>
        </w:tc>
        <w:tc>
          <w:tcPr>
            <w:tcW w:w="1365" w:type="dxa"/>
            <w:vAlign w:val="top"/>
            <w:shd w:val="clear" w:color="FFFFFF" w:fill="#fffcd8"/>
            <w:tcBorders>
              <w:left w:val="single" w:sz="5" w:space="0" w:color="#b3ac86"/>
              <w:bottom w:val="single" w:sz="5" w:space="0" w:color="#b3ac86"/>
            </w:tcBorders>
            <w:pPr>
              <w:jc w:val="right"/>
            </w:pPr>
          </w:tcPr>
          <w:p>
            <w:pPr>
              <w:pStyle w:val="1CStyle1"/>
            </w:pPr>
            <w:r>
              <w:t>32 010,00</w:t>
            </w:r>
          </w:p>
        </w:tc>
        <w:tc>
          <w:tcPr>
            <w:tcW w:w="1365" w:type="dxa"/>
            <w:vAlign w:val="top"/>
            <w:shd w:val="clear" w:color="FFFFFF" w:fill="#fffcd8"/>
            <w:tcBorders>
              <w:left w:val="single" w:sz="5" w:space="0" w:color="#b3ac86"/>
              <w:bottom w:val="single" w:sz="5" w:space="0" w:color="#b3ac86"/>
            </w:tcBorders>
            <w:pPr>
              <w:jc w:val="right"/>
            </w:pPr>
          </w:tcPr>
          <w:p>
            <w:pPr>
              <w:pStyle w:val="1CStyle1"/>
            </w:pPr>
            <w:r>
              <w:t>1 509 247,44</w:t>
            </w:r>
          </w:p>
        </w:tc>
        <w:tc>
          <w:tcPr>
            <w:tcW w:w="1365" w:type="dxa"/>
            <w:vAlign w:val="top"/>
            <w:shd w:val="clear" w:color="FFFFFF" w:fill="#fffcd8"/>
            <w:tcBorders>
              <w:left w:val="single" w:sz="5" w:space="0" w:color="#b3ac86"/>
              <w:bottom w:val="single" w:sz="5" w:space="0" w:color="#b3ac86"/>
            </w:tcBorders>
            <w:pPr>
              <w:jc w:val="right"/>
            </w:pPr>
          </w:tcPr>
          <w:p>
            <w:pPr>
              <w:pStyle w:val="1CStyle1"/>
            </w:pPr>
            <w:r>
              <w:t>0,00</w:t>
            </w:r>
          </w:p>
        </w:tc>
        <w:tc>
          <w:tcPr>
            <w:tcW w:w="1365" w:type="dxa"/>
            <w:vAlign w:val="top"/>
            <w:shd w:val="clear" w:color="FFFFFF" w:fill="#dfebd8"/>
            <w:tcBorders>
              <w:left w:val="single" w:sz="5" w:space="0" w:color="#b3ac86"/>
              <w:bottom w:val="single" w:sz="5" w:space="0" w:color="#b3ac86"/>
            </w:tcBorders>
            <w:pPr>
              <w:jc w:val="right"/>
            </w:pPr>
          </w:tcPr>
          <w:p>
            <w:pPr>
              <w:pStyle w:val="1CStyle2"/>
            </w:pPr>
            <w:r>
              <w:t>1 541 257,44</w:t>
            </w:r>
          </w:p>
        </w:tc>
        <w:tc>
          <w:tcPr>
            <w:tcW w:w="1365" w:type="dxa"/>
            <w:vAlign w:val="top"/>
            <w:shd w:val="clear" w:color="FFFFFF" w:fill="#fffcd8"/>
            <w:tcBorders>
              <w:left w:val="single" w:sz="5" w:space="0" w:color="#b3ac86"/>
              <w:bottom w:val="single" w:sz="5" w:space="0" w:color="#b3ac86"/>
            </w:tcBorders>
            <w:pPr>
              <w:jc w:val="right"/>
            </w:pPr>
          </w:tcPr>
          <w:p>
            <w:pPr>
              <w:pStyle w:val="1CStyle1"/>
            </w:pPr>
            <w:r>
              <w:t>32 010,00</w:t>
            </w:r>
          </w:p>
        </w:tc>
        <w:tc>
          <w:tcPr>
            <w:tcW w:w="1365" w:type="dxa"/>
            <w:vAlign w:val="top"/>
            <w:shd w:val="clear" w:color="FFFFFF" w:fill="#fffcd8"/>
            <w:tcBorders>
              <w:left w:val="single" w:sz="5" w:space="0" w:color="#b3ac86"/>
              <w:bottom w:val="single" w:sz="5" w:space="0" w:color="#b3ac86"/>
            </w:tcBorders>
            <w:pPr>
              <w:jc w:val="right"/>
            </w:pPr>
          </w:tcPr>
          <w:p>
            <w:pPr>
              <w:pStyle w:val="1CStyle1"/>
            </w:pPr>
            <w:r>
              <w:t>1 317 891,93</w:t>
            </w:r>
          </w:p>
        </w:tc>
        <w:tc>
          <w:tcPr>
            <w:tcW w:w="1365" w:type="dxa"/>
            <w:vAlign w:val="top"/>
            <w:shd w:val="clear" w:color="FFFFFF" w:fill="#fffcd8"/>
            <w:tcBorders>
              <w:left w:val="single" w:sz="5" w:space="0" w:color="#b3ac86"/>
              <w:bottom w:val="single" w:sz="5" w:space="0" w:color="#b3ac86"/>
            </w:tcBorders>
            <w:pPr>
              <w:jc w:val="right"/>
            </w:pPr>
          </w:tcPr>
          <w:p>
            <w:pPr>
              <w:pStyle w:val="1CStyle1"/>
            </w:pPr>
            <w:r>
              <w:t>0,00</w:t>
            </w:r>
          </w:p>
        </w:tc>
        <w:tc>
          <w:tcPr>
            <w:tcW w:w="1365" w:type="dxa"/>
            <w:vAlign w:val="top"/>
            <w:shd w:val="clear" w:color="FFFFFF" w:fill="#dfebd8"/>
            <w:tcBorders>
              <w:left w:val="single" w:sz="5" w:space="0" w:color="#b3ac86"/>
              <w:bottom w:val="single" w:sz="5" w:space="0" w:color="#b3ac86"/>
              <w:right w:val="single" w:sz="5" w:space="0" w:color="#b3ac86"/>
            </w:tcBorders>
            <w:pPr>
              <w:jc w:val="right"/>
            </w:pPr>
          </w:tcPr>
          <w:p>
            <w:pPr>
              <w:pStyle w:val="1CStyle3"/>
            </w:pPr>
            <w:r>
              <w:t>1 349 901,93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bf0"/>
            <w:tcBorders>
              <w:left w:val="single" w:sz="5" w:space="0" w:color="#b3ac86"/>
              <w:bottom w:val="single" w:sz="5" w:space="0" w:color="#b3ac86"/>
            </w:tcBorders>
            <w:pPr>
              <w:jc w:val="left"/>
            </w:pPr>
          </w:tcPr>
          <w:p>
            <w:pPr>
              <w:pStyle w:val="1CStyle4"/>
            </w:pPr>
            <w:r>
              <w:t>ОТКЛОНЕНИЕ</w:t>
            </w:r>
          </w:p>
        </w:tc>
        <w:tc>
          <w:tcPr>
            <w:tcW w:w="525" w:type="dxa"/>
            <w:vAlign w:val="top"/>
            <w:shd w:val="clear" w:color="FFFFFF" w:fill="#fffbf0"/>
            <w:tcBorders>
              <w:left w:val="single" w:sz="5" w:space="0" w:color="#b3ac86"/>
              <w:bottom w:val="single" w:sz="5" w:space="0" w:color="#b3ac86"/>
            </w:tcBorders>
            <w:pPr>
              <w:jc w:val="center"/>
            </w:pPr>
          </w:tcPr>
          <w:p>
            <w:pPr>
              <w:pStyle w:val="1CStyle5"/>
            </w:pPr>
            <w:r>
              <w:t/>
            </w:r>
          </w:p>
        </w:tc>
        <w:tc>
          <w:tcPr>
            <w:tcW w:w="1365" w:type="dxa"/>
            <w:vAlign w:val="top"/>
            <w:shd w:val="clear" w:color="FFFFFF" w:fill="#dfebd8"/>
            <w:tcBorders>
              <w:left w:val="single" w:sz="5" w:space="0" w:color="#b3ac86"/>
              <w:bottom w:val="single" w:sz="5" w:space="0" w:color="#b3ac86"/>
            </w:tcBorders>
            <w:pPr>
              <w:jc w:val="right"/>
            </w:pPr>
          </w:tcPr>
          <w:p>
            <w:pPr>
              <w:pStyle w:val="1CStyle6"/>
            </w:pPr>
            <w:r>
              <w:t/>
            </w:r>
          </w:p>
        </w:tc>
        <w:tc>
          <w:tcPr>
            <w:tcW w:w="1365" w:type="dxa"/>
            <w:vAlign w:val="top"/>
            <w:shd w:val="clear" w:color="FFFFFF" w:fill="#dfebd8"/>
            <w:tcBorders>
              <w:left w:val="single" w:sz="5" w:space="0" w:color="#b3ac86"/>
              <w:bottom w:val="single" w:sz="5" w:space="0" w:color="#b3ac86"/>
            </w:tcBorders>
            <w:pPr>
              <w:jc w:val="right"/>
            </w:pPr>
          </w:tcPr>
          <w:p>
            <w:pPr>
              <w:pStyle w:val="1CStyle6"/>
            </w:pPr>
            <w:r>
              <w:t/>
            </w:r>
          </w:p>
        </w:tc>
        <w:tc>
          <w:tcPr>
            <w:tcW w:w="1365" w:type="dxa"/>
            <w:vAlign w:val="top"/>
            <w:shd w:val="clear" w:color="FFFFFF" w:fill="#dfebd8"/>
            <w:tcBorders>
              <w:left w:val="single" w:sz="5" w:space="0" w:color="#b3ac86"/>
              <w:bottom w:val="single" w:sz="5" w:space="0" w:color="#b3ac86"/>
            </w:tcBorders>
            <w:pPr>
              <w:jc w:val="right"/>
            </w:pPr>
          </w:tcPr>
          <w:p>
            <w:pPr>
              <w:pStyle w:val="1CStyle6"/>
            </w:pPr>
            <w:r>
              <w:t/>
            </w:r>
          </w:p>
        </w:tc>
        <w:tc>
          <w:tcPr>
            <w:tcW w:w="1365" w:type="dxa"/>
            <w:vAlign w:val="top"/>
            <w:shd w:val="clear" w:color="FFFFFF" w:fill="#dfebd8"/>
            <w:tcBorders>
              <w:left w:val="single" w:sz="5" w:space="0" w:color="#b3ac86"/>
              <w:bottom w:val="single" w:sz="5" w:space="0" w:color="#b3ac86"/>
            </w:tcBorders>
            <w:pPr>
              <w:jc w:val="right"/>
            </w:pPr>
          </w:tcPr>
          <w:p>
            <w:pPr>
              <w:pStyle w:val="1CStyle6"/>
            </w:pPr>
            <w:r>
              <w:t/>
            </w:r>
          </w:p>
        </w:tc>
        <w:tc>
          <w:tcPr>
            <w:tcW w:w="1365" w:type="dxa"/>
            <w:vAlign w:val="top"/>
            <w:shd w:val="clear" w:color="FFFFFF" w:fill="#dfebd8"/>
            <w:tcBorders>
              <w:left w:val="single" w:sz="5" w:space="0" w:color="#b3ac86"/>
              <w:bottom w:val="single" w:sz="5" w:space="0" w:color="#b3ac86"/>
            </w:tcBorders>
            <w:pPr>
              <w:jc w:val="right"/>
            </w:pPr>
          </w:tcPr>
          <w:p>
            <w:pPr>
              <w:pStyle w:val="1CStyle6"/>
            </w:pPr>
            <w:r>
              <w:t/>
            </w:r>
          </w:p>
        </w:tc>
        <w:tc>
          <w:tcPr>
            <w:tcW w:w="1365" w:type="dxa"/>
            <w:vAlign w:val="top"/>
            <w:shd w:val="clear" w:color="FFFFFF" w:fill="#dfebd8"/>
            <w:tcBorders>
              <w:left w:val="single" w:sz="5" w:space="0" w:color="#b3ac86"/>
              <w:bottom w:val="single" w:sz="5" w:space="0" w:color="#b3ac86"/>
            </w:tcBorders>
            <w:pPr>
              <w:jc w:val="right"/>
            </w:pPr>
          </w:tcPr>
          <w:p>
            <w:pPr>
              <w:pStyle w:val="1CStyle6"/>
            </w:pPr>
            <w:r>
              <w:t/>
            </w:r>
          </w:p>
        </w:tc>
        <w:tc>
          <w:tcPr>
            <w:tcW w:w="1365" w:type="dxa"/>
            <w:vAlign w:val="top"/>
            <w:shd w:val="clear" w:color="FFFFFF" w:fill="#dfebd8"/>
            <w:tcBorders>
              <w:left w:val="single" w:sz="5" w:space="0" w:color="#b3ac86"/>
              <w:bottom w:val="single" w:sz="5" w:space="0" w:color="#b3ac86"/>
            </w:tcBorders>
            <w:pPr>
              <w:jc w:val="right"/>
            </w:pPr>
          </w:tcPr>
          <w:p>
            <w:pPr>
              <w:pStyle w:val="1CStyle6"/>
            </w:pPr>
            <w:r>
              <w:t/>
            </w:r>
          </w:p>
        </w:tc>
        <w:tc>
          <w:tcPr>
            <w:tcW w:w="1365" w:type="dxa"/>
            <w:vAlign w:val="top"/>
            <w:shd w:val="clear" w:color="FFFFFF" w:fill="#dfebd8"/>
            <w:tcBorders>
              <w:left w:val="single" w:sz="5" w:space="0" w:color="#b3ac86"/>
              <w:bottom w:val="single" w:sz="5" w:space="0" w:color="#b3ac86"/>
              <w:right w:val="single" w:sz="5" w:space="0" w:color="#b3ac86"/>
            </w:tcBorders>
            <w:pPr>
              <w:jc w:val="right"/>
            </w:pPr>
          </w:tcPr>
          <w:p>
            <w:pPr>
              <w:pStyle w:val="1CStyle7"/>
            </w:pPr>
            <w:r>
              <w:t/>
            </w:r>
          </w:p>
        </w:tc>
      </w:tr>
      <w:tr>
        <w:trPr>
          <w:trHeight w:val="100" w:hRule="exact"/>
        </w:trPr>
        <w:tc>
          <w:tcPr>
            <w:gridSpan w:val="7"/>
            <w:tcW w:w="420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52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gridSpan w:val="7"/>
            <w:tcW w:w="420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gridSpan w:val="9"/>
            <w:tcW w:w="11445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0"/>
            </w:pPr>
            <w:r>
              <w:t>Утв. Приказом Минфина РФ от 25 марта 2011 г. № 33н</w:t>
            </w:r>
          </w:p>
        </w:tc>
      </w:tr>
      <w:tr>
        <w:tc>
          <w:tcPr>
            <w:gridSpan w:val="15"/>
            <w:tcW w:w="1428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1"/>
            </w:pPr>
            <w:r>
              <w:t>БАЛАНС </w:t>
              <w:br/>
              <w:t>
ГОСУДАРСТВЕННОГО (МУНИЦИПАЛЬНОГО) УЧРЕЖДЕНИЯ</w:t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2"/>
            </w:pPr>
            <w:r>
              <w:t>КОДЫ</w:t>
            </w:r>
          </w:p>
        </w:tc>
      </w:tr>
      <w:tr>
        <w:tc>
          <w:tcPr>
            <w:gridSpan w:val="15"/>
            <w:tcW w:w="14281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13"/>
            </w:pPr>
            <w:r>
              <w:t>Форма по ОКУД   </w:t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4"/>
            </w:pPr>
            <w:r>
              <w:t>0503730</w:t>
            </w:r>
          </w:p>
        </w:tc>
      </w:tr>
      <w:tr>
        <w:tc>
          <w:tcPr>
            <w:gridSpan w:val="9"/>
            <w:tcW w:w="6091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15"/>
            </w:pPr>
            <w:r>
              <w:t>на</w:t>
            </w:r>
          </w:p>
        </w:tc>
        <w:tc>
          <w:tcPr>
            <w:gridSpan w:val="2"/>
            <w:tcW w:w="2730" w:type="dxa"/>
            <w:vAlign w:val="bottom"/>
            <w:shd w:val="clear" w:color="FFFFFF" w:fill="#d5eeff"/>
            <w:pPr>
              <w:jc w:val="left"/>
            </w:pPr>
          </w:tcPr>
          <w:p>
            <w:pPr>
              <w:pStyle w:val="1CStyle16"/>
            </w:pPr>
            <w:r>
              <w:t>«01» января 2013 г.</w:t>
            </w:r>
          </w:p>
        </w:tc>
        <w:tc>
          <w:tcPr>
            <w:gridSpan w:val="2"/>
            <w:tcW w:w="273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gridSpan w:val="2"/>
            <w:tcW w:w="2730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18"/>
            </w:pPr>
            <w:r>
              <w:t>Дата   </w:t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19"/>
            </w:pPr>
            <w:r>
              <w:t>01.01.2013</w:t>
            </w:r>
          </w:p>
        </w:tc>
      </w:tr>
      <w:tr>
        <w:tc>
          <w:tcPr>
            <w:gridSpan w:val="6"/>
            <w:tcW w:w="3151" w:type="dxa"/>
            <w:vAlign w:val="bottom"/>
            <w:shd w:val="clear" w:color="FFFFFF" w:fill="auto"/>
            <w:tcBorders>
              <w:bottom w:val="none" w:sz="5" w:space="0" w:color="auto"/>
            </w:tcBorders>
            <w:pPr>
              <w:jc w:val="left"/>
            </w:pPr>
          </w:tcPr>
          <w:p>
            <w:pPr>
              <w:pStyle w:val="1CStyle20"/>
            </w:pPr>
            <w:r>
              <w:t>Учреждение</w:t>
            </w:r>
          </w:p>
        </w:tc>
        <w:tc>
          <w:tcPr>
            <w:gridSpan w:val="8"/>
            <w:tcW w:w="9765" w:type="dxa"/>
            <w:vAlign w:val="bottom"/>
            <w:shd w:val="clear" w:color="FFFFFF" w:fill="#d5eeff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21"/>
            </w:pPr>
            <w:r>
              <w:t>МАОУДОД СДЮСШОР №2</w:t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18"/>
            </w:pPr>
            <w:r>
              <w:t>по ОКПО   </w:t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22"/>
            </w:pPr>
            <w:r>
              <w:t>42972881</w:t>
            </w:r>
          </w:p>
        </w:tc>
      </w:tr>
      <w:tr>
        <w:tc>
          <w:tcPr>
            <w:gridSpan w:val="6"/>
            <w:tcW w:w="3151" w:type="dxa"/>
            <w:vAlign w:val="bottom"/>
            <w:shd w:val="clear" w:color="FFFFFF" w:fill="auto"/>
            <w:tcBorders>
              <w:bottom w:val="non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Обособленное подразделение</w:t>
            </w:r>
          </w:p>
        </w:tc>
        <w:tc>
          <w:tcPr>
            <w:gridSpan w:val="8"/>
            <w:tcW w:w="9765" w:type="dxa"/>
            <w:vAlign w:val="bottom"/>
            <w:shd w:val="clear" w:color="FFFFFF" w:fill="#d5eeff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26"/>
            </w:pPr>
            <w:r>
              <w:t/>
            </w:r>
          </w:p>
        </w:tc>
      </w:tr>
      <w:tr>
        <w:tc>
          <w:tcPr>
            <w:gridSpan w:val="6"/>
            <w:tcW w:w="3151" w:type="dxa"/>
            <w:vAlign w:val="bottom"/>
            <w:shd w:val="clear" w:color="FFFFFF" w:fill="auto"/>
            <w:tcBorders>
              <w:bottom w:val="non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Учредитель</w:t>
            </w:r>
          </w:p>
        </w:tc>
        <w:tc>
          <w:tcPr>
            <w:gridSpan w:val="8"/>
            <w:tcW w:w="9765" w:type="dxa"/>
            <w:vAlign w:val="bottom"/>
            <w:shd w:val="clear" w:color="FFFFFF" w:fill="#d5eeff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18"/>
            </w:pPr>
            <w:r>
              <w:t>по ОКАТО   </w:t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22"/>
            </w:pPr>
            <w:r>
              <w:t/>
            </w:r>
          </w:p>
        </w:tc>
      </w:tr>
      <w:tr>
        <w:tc>
          <w:tcPr>
            <w:gridSpan w:val="6"/>
            <w:tcW w:w="3151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28"/>
            </w:pPr>
            <w:r>
              <w:t>Наименование органа, осуществля-</w:t>
            </w:r>
          </w:p>
        </w:tc>
        <w:tc>
          <w:tcPr>
            <w:vMerge w:val="restart"/>
            <w:gridSpan w:val="8"/>
            <w:tcW w:w="9765" w:type="dxa"/>
            <w:vAlign w:val="bottom"/>
            <w:shd w:val="clear" w:color="FFFFFF" w:fill="#d5eeff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21"/>
            </w:pPr>
            <w:r>
              <w:t>Комитет по физической культуре и спорту Администрации городского округа город Уфа Республики Башкортостан</w:t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18"/>
            </w:pPr>
            <w:r>
              <w:t>по ОКПО   </w:t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29"/>
            </w:pPr>
            <w:r>
              <w:t/>
            </w:r>
          </w:p>
        </w:tc>
      </w:tr>
      <w:tr>
        <w:tc>
          <w:tcPr>
            <w:gridSpan w:val="6"/>
            <w:tcW w:w="3151" w:type="dxa"/>
            <w:vAlign w:val="bottom"/>
            <w:shd w:val="clear" w:color="FFFFFF" w:fill="auto"/>
            <w:tcBorders>
              <w:bottom w:val="non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>ющего полномочия учредителя</w:t>
            </w:r>
          </w:p>
        </w:tc>
        <w:tc>
          <w:tcPr>
            <w:vMerge w:val="continue"/>
            <w:gridSpan w:val="8"/>
            <w:tcW w:w="9765" w:type="dxa"/>
            <w:vAlign w:val="bottom"/>
            <w:shd w:val="clear" w:color="FFFFFF" w:fill="#d5eeff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21"/>
            </w:pPr>
            <w:r>
              <w:t>Комитет по физической культуре и спорту Администрации городского округа город Уфа Республики Башкортостан</w:t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31"/>
            </w:pPr>
            <w:r>
              <w:t>Глава по БК</w:t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29"/>
            </w:pPr>
            <w:r>
              <w:t>778</w:t>
            </w:r>
          </w:p>
        </w:tc>
      </w:tr>
      <w:tr>
        <w:tc>
          <w:tcPr>
            <w:gridSpan w:val="11"/>
            <w:tcW w:w="8821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32"/>
            </w:pPr>
            <w:r>
              <w:t>Периодичность: годовая</w:t>
            </w:r>
          </w:p>
        </w:tc>
        <w:tc>
          <w:tcPr>
            <w:gridSpan w:val="2"/>
            <w:tcW w:w="273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35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36"/>
            </w:pPr>
            <w:r>
              <w:t/>
            </w:r>
          </w:p>
        </w:tc>
      </w:tr>
      <w:tr>
        <w:tc>
          <w:tcPr>
            <w:gridSpan w:val="3"/>
            <w:tcW w:w="1838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32"/>
            </w:pPr>
            <w:r>
              <w:t>Единица измерения:</w:t>
            </w:r>
          </w:p>
        </w:tc>
        <w:tc>
          <w:tcPr>
            <w:gridSpan w:val="2"/>
            <w:tcW w:w="788" w:type="dxa"/>
            <w:vAlign w:val="bottom"/>
            <w:shd w:val="clear" w:color="FFFFFF" w:fill="#d5eeff"/>
            <w:pPr>
              <w:jc w:val="left"/>
            </w:pPr>
          </w:tcPr>
          <w:p>
            <w:pPr>
              <w:pStyle w:val="1CStyle37"/>
            </w:pPr>
            <w:r>
              <w:t>руб.</w:t>
            </w:r>
          </w:p>
        </w:tc>
        <w:tc>
          <w:tcPr>
            <w:gridSpan w:val="2"/>
            <w:tcW w:w="157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gridSpan w:val="2"/>
            <w:tcW w:w="189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gridSpan w:val="2"/>
            <w:tcW w:w="273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gridSpan w:val="2"/>
            <w:tcW w:w="273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gridSpan w:val="2"/>
            <w:tcW w:w="2730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18"/>
            </w:pPr>
            <w:r>
              <w:t>по ОКЕИ   </w:t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39"/>
            </w:pPr>
            <w:r>
              <w:t>383</w:t>
            </w:r>
          </w:p>
        </w:tc>
      </w:tr>
      <w:tr>
        <w:tc>
          <w:tcPr>
            <w:gridSpan w:val="4"/>
            <w:tcW w:w="2101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40"/>
            </w:pPr>
            <w:r>
              <w:t/>
            </w:r>
          </w:p>
        </w:tc>
        <w:tc>
          <w:tcPr>
            <w:tcW w:w="52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tcW w:w="52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42"/>
            </w:pPr>
            <w:r>
              <w:t/>
            </w:r>
          </w:p>
        </w:tc>
        <w:tc>
          <w:tcPr>
            <w:gridSpan w:val="2"/>
            <w:tcW w:w="157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43"/>
            </w:pPr>
            <w:r>
              <w:t/>
            </w:r>
          </w:p>
        </w:tc>
        <w:tc>
          <w:tcPr>
            <w:gridSpan w:val="2"/>
            <w:tcW w:w="273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43"/>
            </w:pPr>
            <w:r>
              <w:t/>
            </w:r>
          </w:p>
        </w:tc>
        <w:tc>
          <w:tcPr>
            <w:gridSpan w:val="2"/>
            <w:tcW w:w="273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43"/>
            </w:pPr>
            <w:r>
              <w:t/>
            </w:r>
          </w:p>
        </w:tc>
        <w:tc>
          <w:tcPr>
            <w:gridSpan w:val="2"/>
            <w:tcW w:w="273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43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44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43"/>
            </w:pPr>
            <w:r>
              <w:t/>
            </w:r>
          </w:p>
        </w:tc>
      </w:tr>
      <w:tr>
        <w:tc>
          <w:tcPr>
            <w:vMerge w:val="restart"/>
            <w:gridSpan w:val="7"/>
            <w:tcW w:w="4201" w:type="dxa"/>
            <w:vAlign w:val="center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5"/>
            </w:pPr>
            <w:r>
              <w:t>А К Т И В</w:t>
            </w:r>
          </w:p>
        </w:tc>
        <w:tc>
          <w:tcPr>
            <w:vMerge w:val="restart"/>
            <w:tcW w:w="52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Код стро-</w:t>
              <w:br/>
              <w:t>
ки</w:t>
            </w:r>
          </w:p>
        </w:tc>
        <w:tc>
          <w:tcPr>
            <w:gridSpan w:val="4"/>
            <w:tcW w:w="5460" w:type="dxa"/>
            <w:vAlign w:val="center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На начало года</w:t>
            </w:r>
          </w:p>
        </w:tc>
        <w:tc>
          <w:tcPr>
            <w:gridSpan w:val="4"/>
            <w:tcW w:w="5460" w:type="dxa"/>
            <w:vAlign w:val="center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На конец отчетного периода</w:t>
            </w:r>
          </w:p>
        </w:tc>
      </w:tr>
      <w:tr>
        <w:tc>
          <w:tcPr>
            <w:vMerge w:val="continue"/>
            <w:gridSpan w:val="7"/>
            <w:tcW w:w="4201" w:type="dxa"/>
            <w:vAlign w:val="center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5"/>
            </w:pPr>
            <w:r>
              <w:t>А К Т И В</w:t>
            </w:r>
          </w:p>
        </w:tc>
        <w:tc>
          <w:tcPr>
            <w:vMerge w:val="continue"/>
            <w:tcW w:w="52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Код стро-</w:t>
              <w:br/>
              <w:t>
ки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деятельность с целевыми средствами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деятельность по оказанию услуг (работ)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средства во временном распоряжении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итого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деятельность с целевыми средствами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деятельность по оказанию услуг (работ)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средства во временном распоряжении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9"/>
            </w:pPr>
            <w:r>
              <w:t>итого</w:t>
            </w:r>
          </w:p>
        </w:tc>
      </w:tr>
      <w:tr>
        <w:tc>
          <w:tcPr>
            <w:gridSpan w:val="7"/>
            <w:tcW w:w="4201" w:type="dxa"/>
            <w:vAlign w:val="center"/>
            <w:shd w:val="clear" w:color="FFFFFF" w:fill="auto"/>
            <w:tcBorders>
              <w:left w:val="non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1</w:t>
            </w:r>
          </w:p>
        </w:tc>
        <w:tc>
          <w:tcPr>
            <w:tcW w:w="52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1"/>
            </w:pPr>
            <w:r>
              <w:t>2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>3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>4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>5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>6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>7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>8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>9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>10</w:t>
            </w:r>
          </w:p>
        </w:tc>
      </w:tr>
      <w:tr>
        <w:tc>
          <w:tcPr>
            <w:gridSpan w:val="7"/>
            <w:tcW w:w="4201" w:type="dxa"/>
            <w:vAlign w:val="center"/>
            <w:shd w:val="clear" w:color="FFFFFF" w:fill="auto"/>
            <w:tcBorders>
              <w:left w:val="none" w:sz="5" w:space="0" w:color="auto"/>
            </w:tcBorders>
            <w:pPr>
              <w:jc w:val="center"/>
            </w:pPr>
          </w:tcPr>
          <w:p>
            <w:pPr>
              <w:pStyle w:val="1CStyle54"/>
            </w:pPr>
            <w:r>
              <w:t>I. Нефинансовые активы</w:t>
            </w:r>
          </w:p>
        </w:tc>
        <w:tc>
          <w:tcPr>
            <w:tcW w:w="525" w:type="dxa"/>
            <w:vAlign w:val="center"/>
            <w:shd w:val="clear" w:color="FFFFFF" w:fill="auto"/>
            <w:tcBorders>
              <w:top w:val="single" w:sz="10" w:space="0" w:color="auto"/>
              <w:left w:val="single" w:sz="10" w:space="0" w:color="auto"/>
            </w:tcBorders>
            <w:pPr>
              <w:jc w:val="center"/>
            </w:pPr>
          </w:tcPr>
          <w:p>
            <w:pPr>
              <w:pStyle w:val="1CStyle55"/>
            </w:pPr>
            <w:r>
              <w:t/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top w:val="single" w:sz="10" w:space="0" w:color="auto"/>
              <w:left w:val="single" w:sz="5" w:space="0" w:color="auto"/>
            </w:tcBorders>
            <w:pPr>
              <w:jc w:val="center"/>
            </w:pPr>
          </w:tcPr>
          <w:p>
            <w:pPr>
              <w:pStyle w:val="1CStyle56"/>
            </w:pPr>
            <w:r>
              <w:t/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top w:val="single" w:sz="10" w:space="0" w:color="auto"/>
              <w:left w:val="single" w:sz="5" w:space="0" w:color="auto"/>
            </w:tcBorders>
            <w:pPr>
              <w:jc w:val="center"/>
            </w:pPr>
          </w:tcPr>
          <w:p>
            <w:pPr>
              <w:pStyle w:val="1CStyle56"/>
            </w:pPr>
            <w:r>
              <w:t/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top w:val="single" w:sz="10" w:space="0" w:color="auto"/>
              <w:left w:val="single" w:sz="5" w:space="0" w:color="auto"/>
            </w:tcBorders>
            <w:pPr>
              <w:jc w:val="center"/>
            </w:pPr>
          </w:tcPr>
          <w:p>
            <w:pPr>
              <w:pStyle w:val="1CStyle56"/>
            </w:pPr>
            <w:r>
              <w:t/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top w:val="single" w:sz="10" w:space="0" w:color="auto"/>
              <w:left w:val="single" w:sz="5" w:space="0" w:color="auto"/>
            </w:tcBorders>
            <w:pPr>
              <w:jc w:val="center"/>
            </w:pPr>
          </w:tcPr>
          <w:p>
            <w:pPr>
              <w:pStyle w:val="1CStyle56"/>
            </w:pPr>
            <w:r>
              <w:t/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top w:val="single" w:sz="10" w:space="0" w:color="auto"/>
              <w:left w:val="single" w:sz="5" w:space="0" w:color="auto"/>
            </w:tcBorders>
            <w:pPr>
              <w:jc w:val="center"/>
            </w:pPr>
          </w:tcPr>
          <w:p>
            <w:pPr>
              <w:pStyle w:val="1CStyle56"/>
            </w:pPr>
            <w:r>
              <w:t/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top w:val="single" w:sz="10" w:space="0" w:color="auto"/>
              <w:left w:val="single" w:sz="5" w:space="0" w:color="auto"/>
            </w:tcBorders>
            <w:pPr>
              <w:jc w:val="center"/>
            </w:pPr>
          </w:tcPr>
          <w:p>
            <w:pPr>
              <w:pStyle w:val="1CStyle56"/>
            </w:pPr>
            <w:r>
              <w:t/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top w:val="single" w:sz="10" w:space="0" w:color="auto"/>
              <w:left w:val="single" w:sz="5" w:space="0" w:color="auto"/>
            </w:tcBorders>
            <w:pPr>
              <w:jc w:val="center"/>
            </w:pPr>
          </w:tcPr>
          <w:p>
            <w:pPr>
              <w:pStyle w:val="1CStyle56"/>
            </w:pPr>
            <w:r>
              <w:t/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57"/>
            </w:pPr>
            <w:r>
              <w:t/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8"/>
            </w:pPr>
            <w:r>
              <w:t>Основные средства (балансовая стоимость, 010100000)*, всего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010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7 697 202,46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7 697 202,46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7 814 789,28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7 814 789,28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3"/>
            </w:pPr>
            <w:r>
              <w:t>в том числе:</w:t>
            </w:r>
          </w:p>
        </w:tc>
        <w:tc>
          <w:tcPr>
            <w:tcW w:w="525" w:type="dxa"/>
            <w:vAlign w:val="top"/>
            <w:shd w:val="clear" w:color="FFFFFF" w:fill="#ffffff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64"/>
            </w:pPr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недвижимое имущество учреждения (010110000)*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011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5 919 822,00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5 919 822,00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5 919 822,00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5 919 822,00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особо ценное движимое имущество учреждения (010120000)*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012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342 078,00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342 078,00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342 078,00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342 078,00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иное движимое имущество учреждения (010130000)*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013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1 435 302,46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1 435 302,46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1 552 889,28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1 552 889,28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предметы лизинга (010140000)*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014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8"/>
            </w:pPr>
            <w:r>
              <w:t>Амортизация основных средств*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020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6 499 668,09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6 499 668,09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6 914 369,35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6 914 369,35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3"/>
            </w:pPr>
            <w:r>
              <w:t>в том числе:</w:t>
            </w:r>
          </w:p>
        </w:tc>
        <w:tc>
          <w:tcPr>
            <w:tcW w:w="525" w:type="dxa"/>
            <w:vAlign w:val="top"/>
            <w:shd w:val="clear" w:color="FFFFFF" w:fill="#ffffff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64"/>
            </w:pPr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амортизация недвижимого имущества учреждения (010410000)*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021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5 065 824,35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5 065 824,35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5 187 275,16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5 187 275,16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амортизация особо ценного движимого имущества учреждения (010420000)*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022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342 078,00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342 078,00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342 078,00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342 078,00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амортизация иного движимого имущества учреждения (010430000)*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023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1 091 765,74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1 091 765,74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1 385 016,19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1 385 016,19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амортизация предметов лизинга (010440000)*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024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8"/>
            </w:pPr>
            <w:r>
              <w:t>Основные средства (остаточная стоимость, стр. 010 − стр. 020)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030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1 197 534,37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1 197 534,37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900 419,93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900 419,93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3"/>
            </w:pPr>
            <w:r>
              <w:t>из них:</w:t>
            </w:r>
          </w:p>
        </w:tc>
        <w:tc>
          <w:tcPr>
            <w:tcW w:w="525" w:type="dxa"/>
            <w:vAlign w:val="top"/>
            <w:shd w:val="clear" w:color="FFFFFF" w:fill="#ffffff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64"/>
            </w:pPr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недвижимое имущество учреждения (остаточная стоимость, стр.011 -  стр.021)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031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853 997,65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853 997,65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732 546,84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732 546,84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особо ценное движимое имущество учреждения (остаточная стоимость, стр.012 -  стр.022)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032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иное движимое имущество учреждения (остаточная стоимость, стр.013 -  стр.023)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033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343 536,72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343 536,72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167 873,09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167 873,09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предметы лизинга (остаточная стоимость, стр.014 -  стр.024)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034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gridSpan w:val="9"/>
            <w:tcW w:w="11445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68"/>
            </w:pPr>
            <w:r>
              <w:t>Форма 0503730, с. 2</w:t>
            </w:r>
          </w:p>
        </w:tc>
      </w:tr>
      <w:tr>
        <w:tc>
          <w:tcPr>
            <w:vMerge w:val="restart"/>
            <w:gridSpan w:val="7"/>
            <w:tcW w:w="4201" w:type="dxa"/>
            <w:vAlign w:val="center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5"/>
            </w:pPr>
            <w:r>
              <w:t>А К Т И В</w:t>
            </w:r>
          </w:p>
        </w:tc>
        <w:tc>
          <w:tcPr>
            <w:vMerge w:val="restart"/>
            <w:tcW w:w="52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Код стро-</w:t>
              <w:br/>
              <w:t>
ки</w:t>
            </w:r>
          </w:p>
        </w:tc>
        <w:tc>
          <w:tcPr>
            <w:gridSpan w:val="4"/>
            <w:tcW w:w="5460" w:type="dxa"/>
            <w:vAlign w:val="center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На начало года</w:t>
            </w:r>
          </w:p>
        </w:tc>
        <w:tc>
          <w:tcPr>
            <w:gridSpan w:val="3"/>
            <w:tcW w:w="4095" w:type="dxa"/>
            <w:vAlign w:val="center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На конец отчетного периода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69"/>
            </w:pPr>
            <w:r>
              <w:t/>
            </w:r>
          </w:p>
        </w:tc>
      </w:tr>
      <w:tr>
        <w:tc>
          <w:tcPr>
            <w:vMerge w:val="continue"/>
            <w:gridSpan w:val="7"/>
            <w:tcW w:w="4201" w:type="dxa"/>
            <w:vAlign w:val="center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5"/>
            </w:pPr>
            <w:r>
              <w:t>А К Т И В</w:t>
            </w:r>
          </w:p>
        </w:tc>
        <w:tc>
          <w:tcPr>
            <w:vMerge w:val="continue"/>
            <w:tcW w:w="52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Код стро-</w:t>
              <w:br/>
              <w:t>
ки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деятельность с целевыми средствами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деятельность по оказанию услуг (работ)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средства во временном распоряжении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итого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деятельность с целевыми средствами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деятельность по оказанию услуг (работ)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средства во временном распоряжении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9"/>
            </w:pPr>
            <w:r>
              <w:t>итого</w:t>
            </w:r>
          </w:p>
        </w:tc>
      </w:tr>
      <w:tr>
        <w:tc>
          <w:tcPr>
            <w:gridSpan w:val="7"/>
            <w:tcW w:w="4201" w:type="dxa"/>
            <w:vAlign w:val="center"/>
            <w:shd w:val="clear" w:color="FFFFFF" w:fill="auto"/>
            <w:tcBorders>
              <w:left w:val="non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1</w:t>
            </w:r>
          </w:p>
        </w:tc>
        <w:tc>
          <w:tcPr>
            <w:tcW w:w="52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1"/>
            </w:pPr>
            <w:r>
              <w:t>2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>3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>4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>5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>6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>7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>8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>9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>10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8"/>
            </w:pPr>
            <w:r>
              <w:t>Нематериальные активы (балансовая стоимость, 010200000)*, всего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040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3"/>
            </w:pPr>
            <w:r>
              <w:t>из них:</w:t>
            </w:r>
          </w:p>
        </w:tc>
        <w:tc>
          <w:tcPr>
            <w:tcW w:w="525" w:type="dxa"/>
            <w:vAlign w:val="top"/>
            <w:shd w:val="clear" w:color="FFFFFF" w:fill="#ffffff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64"/>
            </w:pPr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особо ценное движимое имущество учреждения (010220000) *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041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иное движимое имущество учреждения (010230000) *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042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rPr>
          <w:trHeight w:val="225" w:hRule="exact"/>
        </w:trP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0"/>
            </w:pPr>
            <w:r>
              <w:t>предметы лизинга  (010240000) *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71"/>
            </w:pPr>
            <w:r>
              <w:t>043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2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2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3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4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2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2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3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75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8"/>
            </w:pPr>
            <w:r>
              <w:t>Амортизация нематериальных активов *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050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3"/>
            </w:pPr>
            <w:r>
              <w:t>из них:</w:t>
            </w:r>
          </w:p>
        </w:tc>
        <w:tc>
          <w:tcPr>
            <w:tcW w:w="525" w:type="dxa"/>
            <w:vAlign w:val="top"/>
            <w:shd w:val="clear" w:color="FFFFFF" w:fill="#ffffff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64"/>
            </w:pPr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особо ценного движимого имущества учреждения (010429000) *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051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иного движимого имущества учреждения (010439000) *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052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предметов лизинга  (010449000) *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053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8"/>
            </w:pPr>
            <w:r>
              <w:t>Нематериальные активы (остаточная стоимость, стр. 040 -  стр.050)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060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3"/>
            </w:pPr>
            <w:r>
              <w:t>из них:</w:t>
            </w:r>
          </w:p>
        </w:tc>
        <w:tc>
          <w:tcPr>
            <w:tcW w:w="525" w:type="dxa"/>
            <w:vAlign w:val="top"/>
            <w:shd w:val="clear" w:color="FFFFFF" w:fill="#ffffff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64"/>
            </w:pPr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особо ценное имущество учреждения (остаточная стоимость, стр. 041 -  стр.051)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061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иное движимое имущество учреждения (остаточная стоимость, стр. 042 -  стр.052)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062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предметы лизинга (остаточная стоимость, стр. 043 -  стр.053)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063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8"/>
            </w:pPr>
            <w:r>
              <w:t>Непроизведенные активы (балансовая стоимость, 010300000)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070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8"/>
            </w:pPr>
            <w:r>
              <w:t>Материальные запасы (010500000)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080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32 010,00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402 246,13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434 256,13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32 010,00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380 983,77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412 993,77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3"/>
            </w:pPr>
            <w:r>
              <w:t>из них:</w:t>
            </w:r>
          </w:p>
        </w:tc>
        <w:tc>
          <w:tcPr>
            <w:tcW w:w="525" w:type="dxa"/>
            <w:vAlign w:val="top"/>
            <w:shd w:val="clear" w:color="FFFFFF" w:fill="#ffffff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64"/>
            </w:pPr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особо ценное движимое имущество учреждения (010520000)*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081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8"/>
            </w:pPr>
            <w:r>
              <w:t>Вложения в нефинансовые активы (010600000)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090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3"/>
            </w:pPr>
            <w:r>
              <w:t>из них:</w:t>
            </w:r>
          </w:p>
        </w:tc>
        <w:tc>
          <w:tcPr>
            <w:tcW w:w="525" w:type="dxa"/>
            <w:vAlign w:val="bottom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78"/>
            </w:pPr>
            <w:r>
              <w:t/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в недвижимое имущество учреждения (010610000)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091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в особо ценное движимое имущество учреждения (010620000)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092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в иное движимое имущество учреждения (010630000)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093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в предметы лизинга (010640000)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79"/>
            </w:pPr>
            <w:r>
              <w:t>094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2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83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gridSpan w:val="9"/>
            <w:tcW w:w="11445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68"/>
            </w:pPr>
            <w:r>
              <w:t>Форма 0503730, с. 3</w:t>
            </w:r>
          </w:p>
        </w:tc>
      </w:tr>
      <w:tr>
        <w:tc>
          <w:tcPr>
            <w:vMerge w:val="restart"/>
            <w:gridSpan w:val="7"/>
            <w:tcW w:w="4201" w:type="dxa"/>
            <w:vAlign w:val="center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5"/>
            </w:pPr>
            <w:r>
              <w:t>А К Т И В</w:t>
            </w:r>
          </w:p>
        </w:tc>
        <w:tc>
          <w:tcPr>
            <w:vMerge w:val="restart"/>
            <w:tcW w:w="52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Код стро-</w:t>
              <w:br/>
              <w:t>
ки</w:t>
            </w:r>
          </w:p>
        </w:tc>
        <w:tc>
          <w:tcPr>
            <w:gridSpan w:val="4"/>
            <w:tcW w:w="5460" w:type="dxa"/>
            <w:vAlign w:val="center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На начало года</w:t>
            </w:r>
          </w:p>
        </w:tc>
        <w:tc>
          <w:tcPr>
            <w:gridSpan w:val="4"/>
            <w:tcW w:w="5460" w:type="dxa"/>
            <w:vAlign w:val="center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На конец отчетного периода</w:t>
            </w:r>
          </w:p>
        </w:tc>
      </w:tr>
      <w:tr>
        <w:tc>
          <w:tcPr>
            <w:vMerge w:val="continue"/>
            <w:gridSpan w:val="7"/>
            <w:tcW w:w="4201" w:type="dxa"/>
            <w:vAlign w:val="center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5"/>
            </w:pPr>
            <w:r>
              <w:t>А К Т И В</w:t>
            </w:r>
          </w:p>
        </w:tc>
        <w:tc>
          <w:tcPr>
            <w:vMerge w:val="continue"/>
            <w:tcW w:w="52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Код стро-</w:t>
              <w:br/>
              <w:t>
ки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деятельность с целевыми средствами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деятельность по оказанию услуг (работ)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средства во временном распоряжении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итого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деятельность с целевыми средствами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деятельность по оказанию услуг (работ)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средства во временном распоряжении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9"/>
            </w:pPr>
            <w:r>
              <w:t>итого</w:t>
            </w:r>
          </w:p>
        </w:tc>
      </w:tr>
      <w:tr>
        <w:tc>
          <w:tcPr>
            <w:gridSpan w:val="7"/>
            <w:tcW w:w="4201" w:type="dxa"/>
            <w:vAlign w:val="center"/>
            <w:shd w:val="clear" w:color="FFFFFF" w:fill="auto"/>
            <w:tcBorders>
              <w:left w:val="non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1</w:t>
            </w:r>
          </w:p>
        </w:tc>
        <w:tc>
          <w:tcPr>
            <w:tcW w:w="52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1"/>
            </w:pPr>
            <w:r>
              <w:t>2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>3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>4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>5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>6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>7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>8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>9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>10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8"/>
            </w:pPr>
            <w:r>
              <w:t>Нефинансовые активы в пути (010700000)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84"/>
            </w:pPr>
            <w:r>
              <w:t>100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5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5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5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5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5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86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3"/>
            </w:pPr>
            <w:r>
              <w:t>из них:</w:t>
            </w:r>
          </w:p>
        </w:tc>
        <w:tc>
          <w:tcPr>
            <w:tcW w:w="525" w:type="dxa"/>
            <w:vAlign w:val="bottom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78"/>
            </w:pPr>
            <w:r>
              <w:t/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недвижимое имущество учреждения в пути (010710000)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101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особо ценное имущество учреждения в пути (010720000)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102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иное движимое имущество учреждения в пути (010730000)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87"/>
            </w:pPr>
            <w:r>
              <w:t>103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8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8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8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8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90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предметы лизинга в пути (010740000)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87"/>
            </w:pPr>
            <w:r>
              <w:t>104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8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8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9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8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8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90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1"/>
            </w:pPr>
            <w:r>
              <w:t>Затраты на изготовление готовой продукции, выполнение работ, услуг (010900000)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140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bottom"/>
            <w:shd w:val="clear" w:color="FFFFFF" w:fill="auto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2"/>
            </w:pPr>
            <w:r>
              <w:t>Итого по разделу I</w:t>
            </w:r>
          </w:p>
        </w:tc>
        <w:tc>
          <w:tcPr>
            <w:tcW w:w="525" w:type="dxa"/>
            <w:vAlign w:val="bottom"/>
            <w:shd w:val="clear" w:color="FFFFFF" w:fill="auto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3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4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4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4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4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4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4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4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95"/>
            </w:pPr>
            <w:r>
              <w:t/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6"/>
            </w:pPr>
            <w:r>
              <w:t>(стр.030 + стр.060 + стр.070 + стр.080 + стр.090 + стр.100 + стр. 140)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79"/>
            </w:pPr>
            <w:r>
              <w:t>150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2"/>
            </w:pPr>
            <w:r>
              <w:t>32 010,00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2"/>
            </w:pPr>
            <w:r>
              <w:t>1 599 780,50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2"/>
            </w:pPr>
            <w:r>
              <w:t>1 631 790,50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2"/>
            </w:pPr>
            <w:r>
              <w:t>32 010,00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2"/>
            </w:pPr>
            <w:r>
              <w:t>1 281 403,70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83"/>
            </w:pPr>
            <w:r>
              <w:t>1 313 413,70</w:t>
            </w:r>
          </w:p>
        </w:tc>
      </w:tr>
      <w:tr>
        <w:tc>
          <w:tcPr>
            <w:gridSpan w:val="7"/>
            <w:tcW w:w="4201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gridSpan w:val="9"/>
            <w:tcW w:w="11445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68"/>
            </w:pPr>
            <w:r>
              <w:t>Форма 0503730, с. 4</w:t>
            </w:r>
          </w:p>
        </w:tc>
      </w:tr>
      <w:tr>
        <w:tc>
          <w:tcPr>
            <w:vMerge w:val="restart"/>
            <w:gridSpan w:val="7"/>
            <w:tcW w:w="4201" w:type="dxa"/>
            <w:vAlign w:val="center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5"/>
            </w:pPr>
            <w:r>
              <w:t>А К Т И В</w:t>
            </w:r>
          </w:p>
        </w:tc>
        <w:tc>
          <w:tcPr>
            <w:vMerge w:val="restart"/>
            <w:tcW w:w="52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Код стро-</w:t>
              <w:br/>
              <w:t>
ки</w:t>
            </w:r>
          </w:p>
        </w:tc>
        <w:tc>
          <w:tcPr>
            <w:gridSpan w:val="4"/>
            <w:tcW w:w="5460" w:type="dxa"/>
            <w:vAlign w:val="center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На начало года</w:t>
            </w:r>
          </w:p>
        </w:tc>
        <w:tc>
          <w:tcPr>
            <w:gridSpan w:val="4"/>
            <w:tcW w:w="5460" w:type="dxa"/>
            <w:vAlign w:val="center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На конец отчетного периода</w:t>
            </w:r>
          </w:p>
        </w:tc>
      </w:tr>
      <w:tr>
        <w:tc>
          <w:tcPr>
            <w:vMerge w:val="continue"/>
            <w:gridSpan w:val="7"/>
            <w:tcW w:w="4201" w:type="dxa"/>
            <w:vAlign w:val="center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5"/>
            </w:pPr>
            <w:r>
              <w:t>А К Т И В</w:t>
            </w:r>
          </w:p>
        </w:tc>
        <w:tc>
          <w:tcPr>
            <w:vMerge w:val="continue"/>
            <w:tcW w:w="52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Код стро-</w:t>
              <w:br/>
              <w:t>
ки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деятельность с целевыми средствами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деятельность по оказанию услуг (работ)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средства во временном распоряжении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итого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деятельность с целевыми средствами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деятельность по оказанию услуг (работ)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средства во временном распоряжении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9"/>
            </w:pPr>
            <w:r>
              <w:t>итого</w:t>
            </w:r>
          </w:p>
        </w:tc>
      </w:tr>
      <w:tr>
        <w:tc>
          <w:tcPr>
            <w:gridSpan w:val="7"/>
            <w:tcW w:w="4201" w:type="dxa"/>
            <w:vAlign w:val="center"/>
            <w:shd w:val="clear" w:color="FFFFFF" w:fill="auto"/>
            <w:tcBorders>
              <w:left w:val="non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1</w:t>
            </w:r>
          </w:p>
        </w:tc>
        <w:tc>
          <w:tcPr>
            <w:tcW w:w="52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1"/>
            </w:pPr>
            <w:r>
              <w:t>2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>3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>4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>5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>6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>7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>8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>9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>10</w:t>
            </w:r>
          </w:p>
        </w:tc>
      </w:tr>
      <w:tr>
        <w:tc>
          <w:tcPr>
            <w:gridSpan w:val="7"/>
            <w:tcW w:w="4201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97"/>
            </w:pPr>
            <w:r>
              <w:t>II. Финансовые активы</w:t>
            </w:r>
          </w:p>
        </w:tc>
        <w:tc>
          <w:tcPr>
            <w:tcW w:w="525" w:type="dxa"/>
            <w:vAlign w:val="bottom"/>
            <w:shd w:val="clear" w:color="FFFFFF" w:fill="auto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3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4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4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4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4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4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4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4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95"/>
            </w:pPr>
            <w:r>
              <w:t/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8"/>
            </w:pPr>
            <w:r>
              <w:t>Денежные средства учреждения (020100000)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170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595 024,18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595 024,18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405 086,79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405 086,79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3"/>
            </w:pPr>
            <w:r>
              <w:t>в том числе:</w:t>
            </w:r>
          </w:p>
        </w:tc>
        <w:tc>
          <w:tcPr>
            <w:tcW w:w="525" w:type="dxa"/>
            <w:vAlign w:val="bottom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78"/>
            </w:pPr>
            <w:r>
              <w:t/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8"/>
            </w:pPr>
            <w:r>
              <w:t>денежные средства учреждения на лицевых счетах в органе казначейства (020111000)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171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405 086,79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405 086,79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8"/>
            </w:pPr>
            <w:r>
              <w:t>денежные средства учреждения в пути в органе казначейства (020113000)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172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8"/>
            </w:pPr>
            <w:r>
              <w:t>денежные средства учреждения на счетах в кредитной организации (020121000)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173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595 024,18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595 024,18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8"/>
            </w:pPr>
            <w:r>
              <w:t>денежные средства учреждения в кредитной организации в пути (020123000)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174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8"/>
            </w:pPr>
            <w:r>
              <w:t>аккредитивы на счетах учреждения в кредитной организации (020126000)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175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8"/>
            </w:pPr>
            <w:r>
              <w:t>денежные средства учреждения в иностранной валюте на счетах в кредитной организации (020127000)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176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8"/>
            </w:pPr>
            <w:r>
              <w:t>касса (020134000)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177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8"/>
            </w:pPr>
            <w:r>
              <w:t>денежные документы (020135000)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178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8"/>
            </w:pPr>
            <w:r>
              <w:t>денежные средства учреждения, размещенные на депозиты в кредитной организации (020122000)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179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8"/>
            </w:pPr>
            <w:r>
              <w:t>Финансовые вложения (020400000)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210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3"/>
            </w:pPr>
            <w:r>
              <w:t>в том числе:</w:t>
            </w:r>
          </w:p>
        </w:tc>
        <w:tc>
          <w:tcPr>
            <w:tcW w:w="525" w:type="dxa"/>
            <w:vAlign w:val="bottom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78"/>
            </w:pPr>
            <w:r>
              <w:t/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ценные бумаги, кроме акций  (020420000)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211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акции и иные формы участия в капитале (020430000)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212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иные финансовые активы (020450000)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213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8"/>
            </w:pPr>
            <w:r>
              <w:t>Расчеты по доходам (020500000)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79"/>
            </w:pPr>
            <w:r>
              <w:t>230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0"/>
            </w:pPr>
            <w:r>
              <w:t>61 247,50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2"/>
            </w:pPr>
            <w:r>
              <w:t>61 247,50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0"/>
            </w:pPr>
            <w:r>
              <w:t>289 771,55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83"/>
            </w:pPr>
            <w:r>
              <w:t>289 771,55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8"/>
            </w:pPr>
            <w:r>
              <w:t>Расчеты по выданным авансам (020600000)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79"/>
            </w:pPr>
            <w:r>
              <w:t>260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0"/>
            </w:pPr>
            <w:r>
              <w:t>31 136,31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2"/>
            </w:pPr>
            <w:r>
              <w:t>31 136,31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0"/>
            </w:pPr>
            <w:r>
              <w:t>72 188,67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83"/>
            </w:pPr>
            <w:r>
              <w:t>72 188,67</w:t>
            </w:r>
          </w:p>
        </w:tc>
      </w:tr>
      <w:tr>
        <w:tc>
          <w:tcPr>
            <w:gridSpan w:val="7"/>
            <w:tcW w:w="4201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gridSpan w:val="9"/>
            <w:tcW w:w="11445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68"/>
            </w:pPr>
            <w:r>
              <w:t>Форма 0503730, с.5</w:t>
            </w:r>
          </w:p>
        </w:tc>
      </w:tr>
      <w:tr>
        <w:tc>
          <w:tcPr>
            <w:vMerge w:val="restart"/>
            <w:gridSpan w:val="7"/>
            <w:tcW w:w="4201" w:type="dxa"/>
            <w:vAlign w:val="center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5"/>
            </w:pPr>
            <w:r>
              <w:t>А К Т И В</w:t>
            </w:r>
          </w:p>
        </w:tc>
        <w:tc>
          <w:tcPr>
            <w:vMerge w:val="restart"/>
            <w:tcW w:w="52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Код стро-</w:t>
              <w:br/>
              <w:t>
ки</w:t>
            </w:r>
          </w:p>
        </w:tc>
        <w:tc>
          <w:tcPr>
            <w:gridSpan w:val="4"/>
            <w:tcW w:w="5460" w:type="dxa"/>
            <w:vAlign w:val="center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На начало года</w:t>
            </w:r>
          </w:p>
        </w:tc>
        <w:tc>
          <w:tcPr>
            <w:gridSpan w:val="4"/>
            <w:tcW w:w="5460" w:type="dxa"/>
            <w:vAlign w:val="center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На конец отчетного периода</w:t>
            </w:r>
          </w:p>
        </w:tc>
      </w:tr>
      <w:tr>
        <w:tc>
          <w:tcPr>
            <w:vMerge w:val="continue"/>
            <w:gridSpan w:val="7"/>
            <w:tcW w:w="4201" w:type="dxa"/>
            <w:vAlign w:val="center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5"/>
            </w:pPr>
            <w:r>
              <w:t>А К Т И В</w:t>
            </w:r>
          </w:p>
        </w:tc>
        <w:tc>
          <w:tcPr>
            <w:vMerge w:val="continue"/>
            <w:tcW w:w="52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Код стро-</w:t>
              <w:br/>
              <w:t>
ки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деятельность с целевыми средствами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деятельность по оказанию услуг (работ)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средства во временном распоряжении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итого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деятельность с целевыми средствами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деятельность по оказанию услуг (работ)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средства во временном распоряжении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9"/>
            </w:pPr>
            <w:r>
              <w:t>итого</w:t>
            </w:r>
          </w:p>
        </w:tc>
      </w:tr>
      <w:tr>
        <w:tc>
          <w:tcPr>
            <w:gridSpan w:val="7"/>
            <w:tcW w:w="4201" w:type="dxa"/>
            <w:vAlign w:val="center"/>
            <w:shd w:val="clear" w:color="FFFFFF" w:fill="auto"/>
            <w:tcBorders>
              <w:left w:val="non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1</w:t>
            </w:r>
          </w:p>
        </w:tc>
        <w:tc>
          <w:tcPr>
            <w:tcW w:w="52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1"/>
            </w:pPr>
            <w:r>
              <w:t>2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>3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>4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>5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>6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>7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>8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>9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>10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8"/>
            </w:pPr>
            <w:r>
              <w:t>Расчеты по кредитам, займам (ссудам) (020700000)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290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3"/>
            </w:pPr>
            <w:r>
              <w:t>в том числе:</w:t>
            </w:r>
          </w:p>
        </w:tc>
        <w:tc>
          <w:tcPr>
            <w:tcW w:w="525" w:type="dxa"/>
            <w:vAlign w:val="bottom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78"/>
            </w:pPr>
            <w:r>
              <w:t/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по представленным кредитам, займам (ссудам) (020710000)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291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в рамках целевых иностранных кредитов (заимствований) (020720000)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292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8"/>
            </w:pPr>
            <w:r>
              <w:t>Расчеты с подотчетными лицами (020800000)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310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76 056,60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76 056,60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-1 018,94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-1 018,94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9"/>
            </w:pPr>
            <w:r>
              <w:t>Расчеты по ущербу имуществу (020900000)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320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3 007,00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3 007,00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8"/>
            </w:pPr>
            <w:r>
              <w:t>Прочие расчеты с дебиторами (021000000)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330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-853 997,65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-853 997,65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-732 546,84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-732 546,84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3"/>
            </w:pPr>
            <w:r>
              <w:t>в том числе:</w:t>
            </w:r>
          </w:p>
        </w:tc>
        <w:tc>
          <w:tcPr>
            <w:tcW w:w="525" w:type="dxa"/>
            <w:vAlign w:val="bottom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78"/>
            </w:pPr>
            <w:r>
              <w:t/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расчеты по НДС по приобретенным материальным ценностям, работам, услугам (021001000)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331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расчеты с финансовым органом по наличным денежным средствам (021003000)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333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100"/>
            </w:pPr>
            <w:r>
              <w:t>расчеты с прочими дебиторами (021005000)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335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100"/>
            </w:pPr>
            <w:r>
              <w:t>расчеты с учредителем (021006000)*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336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-6 261 900,00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-6 261 900,00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-6 261 900,00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-6 261 900,00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100"/>
            </w:pPr>
            <w:r>
              <w:t>показатель уменьшения балансовой стоимости ОЦИ*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337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5 407 902,35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5 407 902,35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5 529 353,16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5 529 353,16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100"/>
            </w:pPr>
            <w:r>
              <w:t>чистая стоимость ОЦИ (стр. 336+стр.337)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338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-853 997,65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-853 997,65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-732 546,84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-732 546,84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8"/>
            </w:pPr>
            <w:r>
              <w:t>Вложения в финансовые активы (021500000)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370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3"/>
            </w:pPr>
            <w:r>
              <w:t>в том числе:</w:t>
            </w:r>
          </w:p>
        </w:tc>
        <w:tc>
          <w:tcPr>
            <w:tcW w:w="525" w:type="dxa"/>
            <w:vAlign w:val="bottom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78"/>
            </w:pPr>
            <w:r>
              <w:t/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ценные бумаги, кроме акций  (021520000)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371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акции и иные формы участия в капитале (021530000)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372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иные финансовые активы (021550000)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373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bottom"/>
            <w:shd w:val="clear" w:color="FFFFFF" w:fill="auto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2"/>
            </w:pPr>
            <w:r>
              <w:t>Итого по разделу II</w:t>
            </w:r>
          </w:p>
        </w:tc>
        <w:tc>
          <w:tcPr>
            <w:tcW w:w="525" w:type="dxa"/>
            <w:vAlign w:val="bottom"/>
            <w:shd w:val="clear" w:color="FFFFFF" w:fill="auto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3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4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4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4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4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4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4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4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95"/>
            </w:pPr>
            <w:r>
              <w:t/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6"/>
            </w:pPr>
            <w:r>
              <w:t> (стр.170  + стр.210 + стр.230 + стр.260 + стр.290 + стр.310 + стр.320 + стр. 330 + стр.370)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400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-90 533,06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-90 533,06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36 488,23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36 488,23</w:t>
            </w:r>
          </w:p>
        </w:tc>
      </w:tr>
      <w:tr>
        <w:tc>
          <w:tcPr>
            <w:gridSpan w:val="7"/>
            <w:tcW w:w="4201" w:type="dxa"/>
            <w:vAlign w:val="bottom"/>
            <w:shd w:val="clear" w:color="FFFFFF" w:fill="auto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2"/>
            </w:pPr>
            <w:r>
              <w:t>БАЛАНС</w:t>
            </w:r>
          </w:p>
        </w:tc>
        <w:tc>
          <w:tcPr>
            <w:tcW w:w="525" w:type="dxa"/>
            <w:vAlign w:val="bottom"/>
            <w:shd w:val="clear" w:color="FFFFFF" w:fill="auto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3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4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4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4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4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4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4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4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95"/>
            </w:pPr>
            <w:r>
              <w:t/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6"/>
            </w:pPr>
            <w:r>
              <w:t>(стр. 150 + стр. 400)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79"/>
            </w:pPr>
            <w:r>
              <w:t>410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2"/>
            </w:pPr>
            <w:r>
              <w:t>32 010,00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2"/>
            </w:pPr>
            <w:r>
              <w:t>1 509 247,44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2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2"/>
            </w:pPr>
            <w:r>
              <w:t>1 541 257,44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2"/>
            </w:pPr>
            <w:r>
              <w:t>32 010,00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2"/>
            </w:pPr>
            <w:r>
              <w:t>1 317 891,93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2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83"/>
            </w:pPr>
            <w:r>
              <w:t>1 349 901,93</w:t>
            </w:r>
          </w:p>
        </w:tc>
      </w:tr>
      <w:tr>
        <w:tc>
          <w:tcPr>
            <w:gridSpan w:val="7"/>
            <w:tcW w:w="4201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gridSpan w:val="9"/>
            <w:tcW w:w="11445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68"/>
            </w:pPr>
            <w:r>
              <w:t>Форма 0503730, с. 6</w:t>
            </w:r>
          </w:p>
        </w:tc>
      </w:tr>
      <w:tr>
        <w:tc>
          <w:tcPr>
            <w:vMerge w:val="restart"/>
            <w:gridSpan w:val="7"/>
            <w:tcW w:w="4201" w:type="dxa"/>
            <w:vAlign w:val="center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5"/>
            </w:pPr>
            <w:r>
              <w:t>П А С С И В</w:t>
            </w:r>
          </w:p>
        </w:tc>
        <w:tc>
          <w:tcPr>
            <w:vMerge w:val="restart"/>
            <w:tcW w:w="52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Код стро-</w:t>
              <w:br/>
              <w:t>
ки</w:t>
            </w:r>
          </w:p>
        </w:tc>
        <w:tc>
          <w:tcPr>
            <w:gridSpan w:val="4"/>
            <w:tcW w:w="5460" w:type="dxa"/>
            <w:vAlign w:val="center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На начало года</w:t>
            </w:r>
          </w:p>
        </w:tc>
        <w:tc>
          <w:tcPr>
            <w:gridSpan w:val="4"/>
            <w:tcW w:w="5460" w:type="dxa"/>
            <w:vAlign w:val="center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На конец отчетного периода</w:t>
            </w:r>
          </w:p>
        </w:tc>
      </w:tr>
      <w:tr>
        <w:tc>
          <w:tcPr>
            <w:vMerge w:val="continue"/>
            <w:gridSpan w:val="7"/>
            <w:tcW w:w="4201" w:type="dxa"/>
            <w:vAlign w:val="center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5"/>
            </w:pPr>
            <w:r>
              <w:t>П А С С И В</w:t>
            </w:r>
          </w:p>
        </w:tc>
        <w:tc>
          <w:tcPr>
            <w:vMerge w:val="continue"/>
            <w:tcW w:w="52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Код стро-</w:t>
              <w:br/>
              <w:t>
ки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деятельность с целевыми средствами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деятельность по оказанию услуг (работ)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средства во временном распоряжении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итого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деятельность с целевыми средствами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деятельность по оказанию услуг (работ)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средства во временном распоряжении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9"/>
            </w:pPr>
            <w:r>
              <w:t>итого</w:t>
            </w:r>
          </w:p>
        </w:tc>
      </w:tr>
      <w:tr>
        <w:tc>
          <w:tcPr>
            <w:gridSpan w:val="7"/>
            <w:tcW w:w="4201" w:type="dxa"/>
            <w:vAlign w:val="center"/>
            <w:shd w:val="clear" w:color="FFFFFF" w:fill="auto"/>
            <w:tcBorders>
              <w:left w:val="non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1</w:t>
            </w:r>
          </w:p>
        </w:tc>
        <w:tc>
          <w:tcPr>
            <w:tcW w:w="52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1"/>
            </w:pPr>
            <w:r>
              <w:t>2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>3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>4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>5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>6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>7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>8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>9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>10</w:t>
            </w:r>
          </w:p>
        </w:tc>
      </w:tr>
      <w:tr>
        <w:tc>
          <w:tcPr>
            <w:gridSpan w:val="7"/>
            <w:tcW w:w="4201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97"/>
            </w:pPr>
            <w:r>
              <w:t>III. Обязательства</w:t>
            </w:r>
          </w:p>
        </w:tc>
        <w:tc>
          <w:tcPr>
            <w:tcW w:w="525" w:type="dxa"/>
            <w:vAlign w:val="bottom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78"/>
            </w:pPr>
            <w:r>
              <w:t/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8"/>
            </w:pPr>
            <w:r>
              <w:t>Расчеты с кредиторами по долговым обязательствам (0 301 00 000)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470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3"/>
            </w:pPr>
            <w:r>
              <w:t>в том числе:</w:t>
            </w:r>
          </w:p>
        </w:tc>
        <w:tc>
          <w:tcPr>
            <w:tcW w:w="525" w:type="dxa"/>
            <w:vAlign w:val="bottom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78"/>
            </w:pPr>
            <w:r>
              <w:t/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по долговым обязательствам в рублях (030110000)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471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по долговым обязательствам по целевым иностранныи кредитам (заимствованиям) (030120000)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472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по долговым обязательствам в иностранной валюте (030140000)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474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8"/>
            </w:pPr>
            <w:r>
              <w:t>Расчеты по принятым обязательствам (030200000)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490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32 929,20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32 929,20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21 407,40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142 065,89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163 473,29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8"/>
            </w:pPr>
            <w:r>
              <w:t>Расчеты по платежам в бюджеты (030300000)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510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-33 526,62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-33 526,62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-84 123,94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-84 123,94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3"/>
            </w:pPr>
            <w:r>
              <w:t>из них:</w:t>
            </w:r>
          </w:p>
        </w:tc>
        <w:tc>
          <w:tcPr>
            <w:tcW w:w="525" w:type="dxa"/>
            <w:vAlign w:val="bottom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78"/>
            </w:pPr>
            <w:r>
              <w:t/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расчеты по налогу на доходы физических лиц (030301000)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511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-608,00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-608,00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расчеты по страховым взносам на обязательное социальное страхование (030302000, 030306000)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512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-22 954,65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-22 954,65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-25 892,50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-25 892,50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расчеты по налогу на прибыль организаций (030303000)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513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-21 372,90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-21 372,90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-41 041,00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-41 041,00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расчеты по налогу на добавленную стоимость (030304000)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514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19 735,42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19 735,42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13 687,26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13 687,26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расчеты по прочим платежам в бюджет (030305000, 030312000, 030313000)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515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0,25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0,25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-343,58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-343,58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расчеты по страховым взносам на медицинское и пенсионное страхование (030307000, 030308000, 030309000, 030310000, 030311000)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79"/>
            </w:pPr>
            <w:r>
              <w:t>516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0"/>
            </w:pPr>
            <w:r>
              <w:t>-8 326,74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2"/>
            </w:pPr>
            <w:r>
              <w:t>-8 326,74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0"/>
            </w:pPr>
            <w:r>
              <w:t>-30 534,12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83"/>
            </w:pPr>
            <w:r>
              <w:t>-30 534,12</w:t>
            </w:r>
          </w:p>
        </w:tc>
      </w:tr>
      <w:tr>
        <w:tc>
          <w:tcPr>
            <w:gridSpan w:val="7"/>
            <w:tcW w:w="4201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gridSpan w:val="9"/>
            <w:tcW w:w="11445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68"/>
            </w:pPr>
            <w:r>
              <w:t>Форма 0503730, с. 7</w:t>
            </w:r>
          </w:p>
        </w:tc>
      </w:tr>
      <w:tr>
        <w:tc>
          <w:tcPr>
            <w:vMerge w:val="restart"/>
            <w:gridSpan w:val="7"/>
            <w:tcW w:w="4201" w:type="dxa"/>
            <w:vAlign w:val="center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5"/>
            </w:pPr>
            <w:r>
              <w:t>П А С С И В</w:t>
            </w:r>
          </w:p>
        </w:tc>
        <w:tc>
          <w:tcPr>
            <w:vMerge w:val="restart"/>
            <w:tcW w:w="52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Код стро-</w:t>
              <w:br/>
              <w:t>
ки</w:t>
            </w:r>
          </w:p>
        </w:tc>
        <w:tc>
          <w:tcPr>
            <w:gridSpan w:val="4"/>
            <w:tcW w:w="5460" w:type="dxa"/>
            <w:vAlign w:val="center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На начало года</w:t>
            </w:r>
          </w:p>
        </w:tc>
        <w:tc>
          <w:tcPr>
            <w:gridSpan w:val="4"/>
            <w:tcW w:w="5460" w:type="dxa"/>
            <w:vAlign w:val="center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На конец отчетного периода</w:t>
            </w:r>
          </w:p>
        </w:tc>
      </w:tr>
      <w:tr>
        <w:tc>
          <w:tcPr>
            <w:vMerge w:val="continue"/>
            <w:gridSpan w:val="7"/>
            <w:tcW w:w="4201" w:type="dxa"/>
            <w:vAlign w:val="center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5"/>
            </w:pPr>
            <w:r>
              <w:t>П А С С И В</w:t>
            </w:r>
          </w:p>
        </w:tc>
        <w:tc>
          <w:tcPr>
            <w:vMerge w:val="continue"/>
            <w:tcW w:w="52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Код стро-</w:t>
              <w:br/>
              <w:t>
ки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деятельность с целевыми средствами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деятельность по оказанию услуг (работ)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средства во временном распоряжении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итого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деятельность с целевыми средствами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деятельность по оказанию услуг (работ)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средства во временном распоряжении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9"/>
            </w:pPr>
            <w:r>
              <w:t>итого</w:t>
            </w:r>
          </w:p>
        </w:tc>
      </w:tr>
      <w:tr>
        <w:tc>
          <w:tcPr>
            <w:gridSpan w:val="7"/>
            <w:tcW w:w="4201" w:type="dxa"/>
            <w:vAlign w:val="center"/>
            <w:shd w:val="clear" w:color="FFFFFF" w:fill="auto"/>
            <w:tcBorders>
              <w:left w:val="non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1</w:t>
            </w:r>
          </w:p>
        </w:tc>
        <w:tc>
          <w:tcPr>
            <w:tcW w:w="52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1"/>
            </w:pPr>
            <w:r>
              <w:t>2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>3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>4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>5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>6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>7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>8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>9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>10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8"/>
            </w:pPr>
            <w:r>
              <w:t>Прочие расчеты с кредиторами (030400000)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530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3"/>
            </w:pPr>
            <w:r>
              <w:t>из них:</w:t>
            </w:r>
          </w:p>
        </w:tc>
        <w:tc>
          <w:tcPr>
            <w:tcW w:w="525" w:type="dxa"/>
            <w:vAlign w:val="bottom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7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78"/>
            </w:pPr>
            <w:r>
              <w:t/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расчеты по средствам, полученным во временное распоряжение (030401000)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531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101"/>
            </w:pPr>
            <w:r>
              <w:t>×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101"/>
            </w:pPr>
            <w:r>
              <w:t>×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101"/>
            </w:pPr>
            <w:r>
              <w:t>×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101"/>
            </w:pPr>
            <w:r>
              <w:t>×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расчеты с депонентами (030402000)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532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расчеты по удержаниям из выплат по оплате труда (030403000)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533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внутриведомственные расчеты (030404000)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534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100"/>
            </w:pPr>
            <w:r>
              <w:t>расчеты с прочими кредиторами (030406000)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102"/>
            </w:pPr>
            <w:r>
              <w:t>536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103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103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104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105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103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103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104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06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107"/>
            </w:pPr>
            <w:r>
              <w:t>Итого по разделу III</w:t>
            </w:r>
          </w:p>
        </w:tc>
        <w:tc>
          <w:tcPr>
            <w:tcW w:w="525" w:type="dxa"/>
            <w:vAlign w:val="bottom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108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110"/>
            </w:pPr>
            <w:r>
              <w:t/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6"/>
            </w:pPr>
            <w:r>
              <w:t> (стр.470+ стр.490 + стр. 510 + стр.530)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79"/>
            </w:pPr>
            <w:r>
              <w:t>600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2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2"/>
            </w:pPr>
            <w:r>
              <w:t>-597,42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2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2"/>
            </w:pPr>
            <w:r>
              <w:t>-597,42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2"/>
            </w:pPr>
            <w:r>
              <w:t>21 407,40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2"/>
            </w:pPr>
            <w:r>
              <w:t>57 941,95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2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83"/>
            </w:pPr>
            <w:r>
              <w:t>79 349,35</w:t>
            </w:r>
          </w:p>
        </w:tc>
      </w:tr>
      <w:tr>
        <w:tc>
          <w:tcPr>
            <w:gridSpan w:val="7"/>
            <w:tcW w:w="4201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97"/>
            </w:pPr>
            <w:r>
              <w:t>IV. Финансовый результат</w:t>
            </w:r>
          </w:p>
        </w:tc>
        <w:tc>
          <w:tcPr>
            <w:tcW w:w="525" w:type="dxa"/>
            <w:vAlign w:val="bottom"/>
            <w:shd w:val="clear" w:color="FFFFFF" w:fill="auto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3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4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4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4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4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4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4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4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95"/>
            </w:pPr>
            <w:r>
              <w:t/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6"/>
            </w:pPr>
            <w:r>
              <w:t>Финансовый результат хозяйствующего субъекта (040100000) (стр. 623+ стр. 623¹ + стр. 624+ стр. 625)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620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32 010,00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1 509 844,86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1 541 854,86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10 602,60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1 259 949,98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1 270 552,58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3"/>
            </w:pPr>
            <w:r>
              <w:t>из них:</w:t>
            </w:r>
          </w:p>
        </w:tc>
        <w:tc>
          <w:tcPr>
            <w:tcW w:w="525" w:type="dxa"/>
            <w:vAlign w:val="bottom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108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10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110"/>
            </w:pPr>
            <w:r>
              <w:t/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финансовый результат прошлых отчетных периодов (040130000)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623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32 010,00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-3 898 057,49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-3 866 047,49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10 602,60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-4 269 403,18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-4 258 800,58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8"/>
            </w:pPr>
            <w:r>
              <w:t>финансовый результат по начисленной амортизации ОЦИ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623¹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5 407 902,35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5 407 902,35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5 529 353,16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5 529 353,16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доходы будущих периодов (040140000)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624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расходы будущих периодов (040150000)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625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bottom"/>
            <w:shd w:val="clear" w:color="FFFFFF" w:fill="auto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2"/>
            </w:pPr>
            <w:r>
              <w:t>БАЛАНС</w:t>
            </w:r>
          </w:p>
        </w:tc>
        <w:tc>
          <w:tcPr>
            <w:tcW w:w="525" w:type="dxa"/>
            <w:vAlign w:val="bottom"/>
            <w:shd w:val="clear" w:color="FFFFFF" w:fill="auto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3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4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4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4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4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4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4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4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95"/>
            </w:pPr>
            <w:r>
              <w:t/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6"/>
            </w:pPr>
            <w:r>
              <w:t>(стр. 600 + стр. 620)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79"/>
            </w:pPr>
            <w:r>
              <w:t>900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2"/>
            </w:pPr>
            <w:r>
              <w:t>32 010,00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2"/>
            </w:pPr>
            <w:r>
              <w:t>1 509 247,44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2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2"/>
            </w:pPr>
            <w:r>
              <w:t>1 541 257,44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2"/>
            </w:pPr>
            <w:r>
              <w:t>32 010,00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2"/>
            </w:pPr>
            <w:r>
              <w:t>1 317 891,93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2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83"/>
            </w:pPr>
            <w:r>
              <w:t>1 349 901,93</w:t>
            </w:r>
          </w:p>
        </w:tc>
      </w:tr>
      <w:tr>
        <w:tc>
          <w:tcPr>
            <w:gridSpan w:val="16"/>
            <w:tcW w:w="15646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</w:tr>
      <w:tr>
        <w:tc>
          <w:tcPr>
            <w:gridSpan w:val="8"/>
            <w:tcW w:w="4726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11"/>
            </w:pPr>
            <w:r>
              <w:t>&lt;*&gt; Данные по этим строкам в валюту баланса не входят.</w:t>
            </w:r>
          </w:p>
        </w:tc>
        <w:tc>
          <w:tcPr>
            <w:gridSpan w:val="8"/>
            <w:tcW w:w="10920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</w:tr>
    </w:tbl>
  </w:body>
</w:document>
</file>

<file path=word/settings.xml><?xml version="1.0" encoding="utf-8"?>
<w:settings xmlns:o="urn:schemas-microsoft-com:office:office" xmlns:r="http://schemas.openxmlformats.org/officeDocument/2006/relationships" xmlns:v="urn:schemas-microsoft-com:vml" xmlns:w10="urn:schemas-microsoft-com:office:word" xmlns:w="http://schemas.openxmlformats.org/wordprocessingml/2006/main" xmlns:sl="http://schemas.openxmlformats.org/schemaLibrary/2006/main">
  <w:view w:val="web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paragraph" w:styleId="1CStyle76">
    <w:name w:val="1CStyle76"/>
    <w:basedOn w:val="Normal"/>
    <w:pPr>
      <w:jc w:val="center"/>
      <w:rPr>
        <w:rFonts w:ascii="Arial" w:hAnsi="Arial"/>
        <w:sz w:val="14"/>
      </w:rPr>
    </w:pPr>
  </w:style>
  <w:style w:type="paragraph" w:styleId="1CStyle108">
    <w:name w:val="1CStyle108"/>
    <w:basedOn w:val="Normal"/>
    <w:pPr>
      <w:jc w:val="center"/>
      <w:rPr>
        <w:rFonts w:ascii="Arial" w:hAnsi="Arial"/>
        <w:b/>
        <w:sz w:val="18"/>
      </w:rPr>
    </w:pPr>
  </w:style>
  <w:style w:type="paragraph" w:styleId="1CStyle93">
    <w:name w:val="1CStyle93"/>
    <w:basedOn w:val="Normal"/>
    <w:pPr>
      <w:jc w:val="center"/>
      <w:rPr>
        <w:rFonts w:ascii="Arial" w:hAnsi="Arial"/>
        <w:b/>
        <w:sz w:val="18"/>
      </w:rPr>
    </w:pPr>
  </w:style>
  <w:style w:type="paragraph" w:styleId="1CStyle77">
    <w:name w:val="1CStyle77"/>
    <w:basedOn w:val="Normal"/>
    <w:pPr>
      <w:jc w:val="center"/>
      <w:rPr>
        <w:rFonts w:ascii="Arial" w:hAnsi="Arial"/>
        <w:sz w:val="14"/>
      </w:rPr>
    </w:pPr>
  </w:style>
  <w:style w:type="paragraph" w:styleId="1CStyle78">
    <w:name w:val="1CStyle78"/>
    <w:basedOn w:val="Normal"/>
    <w:pPr>
      <w:jc w:val="center"/>
      <w:rPr>
        <w:rFonts w:ascii="Arial" w:hAnsi="Arial"/>
        <w:sz w:val="14"/>
      </w:rPr>
    </w:pPr>
  </w:style>
  <w:style w:type="paragraph" w:styleId="1CStyle109">
    <w:name w:val="1CStyle109"/>
    <w:basedOn w:val="Normal"/>
    <w:pPr>
      <w:jc w:val="center"/>
      <w:rPr>
        <w:rFonts w:ascii="Arial" w:hAnsi="Arial"/>
        <w:b/>
        <w:sz w:val="18"/>
      </w:rPr>
    </w:pPr>
  </w:style>
  <w:style w:type="paragraph" w:styleId="1CStyle110">
    <w:name w:val="1CStyle110"/>
    <w:basedOn w:val="Normal"/>
    <w:pPr>
      <w:jc w:val="center"/>
      <w:rPr>
        <w:rFonts w:ascii="Arial" w:hAnsi="Arial"/>
        <w:b/>
        <w:sz w:val="18"/>
      </w:rPr>
    </w:pPr>
  </w:style>
  <w:style w:type="paragraph" w:styleId="1CStyle94">
    <w:name w:val="1CStyle94"/>
    <w:basedOn w:val="Normal"/>
    <w:pPr>
      <w:jc w:val="center"/>
      <w:rPr>
        <w:rFonts w:ascii="Arial" w:hAnsi="Arial"/>
        <w:b/>
        <w:sz w:val="18"/>
      </w:rPr>
    </w:pPr>
  </w:style>
  <w:style w:type="paragraph" w:styleId="1CStyle95">
    <w:name w:val="1CStyle95"/>
    <w:basedOn w:val="Normal"/>
    <w:pPr>
      <w:jc w:val="center"/>
      <w:rPr>
        <w:rFonts w:ascii="Arial" w:hAnsi="Arial"/>
        <w:b/>
        <w:sz w:val="18"/>
      </w:rPr>
    </w:pPr>
  </w:style>
  <w:style w:type="paragraph" w:styleId="1CStyle68">
    <w:name w:val="1CStyle68"/>
    <w:basedOn w:val="Normal"/>
    <w:pPr>
      <w:jc w:val="right"/>
      <w:rPr>
        <w:rFonts w:ascii="Arial" w:hAnsi="Arial"/>
        <w:sz w:val="14"/>
      </w:rPr>
    </w:pPr>
  </w:style>
  <w:style w:type="paragraph" w:styleId="1CStyle10">
    <w:name w:val="1CStyle10"/>
    <w:basedOn w:val="Normal"/>
    <w:pPr>
      <w:jc w:val="right"/>
      <w:rPr>
        <w:rFonts w:ascii="Arial" w:hAnsi="Arial"/>
        <w:sz w:val="14"/>
      </w:rPr>
    </w:pPr>
  </w:style>
  <w:style w:type="paragraph" w:styleId="1CStyle55">
    <w:name w:val="1CStyle55"/>
    <w:basedOn w:val="Normal"/>
    <w:pPr>
      <w:jc w:val="center"/>
      <w:rPr>
        <w:rFonts w:ascii="Arial" w:hAnsi="Arial"/>
        <w:b/>
        <w:sz w:val="18"/>
      </w:rPr>
    </w:pPr>
  </w:style>
  <w:style w:type="paragraph" w:styleId="1CStyle56">
    <w:name w:val="1CStyle56"/>
    <w:basedOn w:val="Normal"/>
    <w:pPr>
      <w:jc w:val="center"/>
      <w:rPr>
        <w:rFonts w:ascii="Arial" w:hAnsi="Arial"/>
        <w:b/>
        <w:sz w:val="18"/>
      </w:rPr>
    </w:pPr>
  </w:style>
  <w:style w:type="paragraph" w:styleId="1CStyle57">
    <w:name w:val="1CStyle57"/>
    <w:basedOn w:val="Normal"/>
    <w:pPr>
      <w:jc w:val="center"/>
      <w:rPr>
        <w:rFonts w:ascii="Arial" w:hAnsi="Arial"/>
        <w:b/>
        <w:sz w:val="18"/>
      </w:rPr>
    </w:pPr>
  </w:style>
  <w:style w:type="paragraph" w:styleId="1CStyle51">
    <w:name w:val="1CStyle51"/>
    <w:basedOn w:val="Normal"/>
    <w:pPr>
      <w:jc w:val="center"/>
      <w:rPr>
        <w:rFonts w:ascii="Arial" w:hAnsi="Arial"/>
        <w:sz w:val="14"/>
      </w:rPr>
    </w:pPr>
  </w:style>
  <w:style w:type="paragraph" w:styleId="1CStyle52">
    <w:name w:val="1CStyle52"/>
    <w:basedOn w:val="Normal"/>
    <w:pPr>
      <w:jc w:val="center"/>
      <w:rPr>
        <w:rFonts w:ascii="Arial" w:hAnsi="Arial"/>
        <w:sz w:val="14"/>
      </w:rPr>
    </w:pPr>
  </w:style>
  <w:style w:type="paragraph" w:styleId="1CStyle53">
    <w:name w:val="1CStyle53"/>
    <w:basedOn w:val="Normal"/>
    <w:pPr>
      <w:jc w:val="center"/>
      <w:rPr>
        <w:rFonts w:ascii="Arial" w:hAnsi="Arial"/>
        <w:sz w:val="14"/>
      </w:rPr>
    </w:pPr>
  </w:style>
  <w:style w:type="paragraph" w:styleId="1CStyle87">
    <w:name w:val="1CStyle87"/>
    <w:basedOn w:val="Normal"/>
    <w:pPr>
      <w:jc w:val="center"/>
      <w:rPr/>
    </w:pPr>
  </w:style>
  <w:style w:type="paragraph" w:styleId="1CStyle59">
    <w:name w:val="1CStyle59"/>
    <w:basedOn w:val="Normal"/>
    <w:pPr>
      <w:jc w:val="center"/>
      <w:rPr/>
    </w:pPr>
  </w:style>
  <w:style w:type="paragraph" w:styleId="1CStyle79">
    <w:name w:val="1CStyle79"/>
    <w:basedOn w:val="Normal"/>
    <w:pPr>
      <w:jc w:val="center"/>
      <w:rPr/>
    </w:pPr>
  </w:style>
  <w:style w:type="paragraph" w:styleId="1CStyle84">
    <w:name w:val="1CStyle84"/>
    <w:basedOn w:val="Normal"/>
    <w:pPr>
      <w:jc w:val="center"/>
      <w:rPr/>
    </w:pPr>
  </w:style>
  <w:style w:type="paragraph" w:styleId="1CStyle102">
    <w:name w:val="1CStyle102"/>
    <w:basedOn w:val="Normal"/>
    <w:pPr>
      <w:jc w:val="center"/>
      <w:rPr>
        <w:rFonts w:ascii="Arial" w:hAnsi="Arial"/>
        <w:sz w:val="16"/>
      </w:rPr>
    </w:pPr>
  </w:style>
  <w:style w:type="paragraph" w:styleId="1CStyle101">
    <w:name w:val="1CStyle101"/>
    <w:basedOn w:val="Normal"/>
    <w:pPr>
      <w:jc w:val="center"/>
      <w:rPr>
        <w:rFonts w:ascii="Arial" w:hAnsi="Arial"/>
        <w:sz w:val="18"/>
      </w:rPr>
    </w:pPr>
  </w:style>
  <w:style w:type="paragraph" w:styleId="1CStyle71">
    <w:name w:val="1CStyle71"/>
    <w:basedOn w:val="Normal"/>
    <w:pPr>
      <w:jc w:val="center"/>
      <w:rPr/>
    </w:pPr>
  </w:style>
  <w:style w:type="paragraph" w:styleId="1CStyle64">
    <w:name w:val="1CStyle64"/>
    <w:basedOn w:val="Normal"/>
    <w:pPr>
      <w:jc w:val="center"/>
      <w:rPr/>
    </w:pPr>
  </w:style>
  <w:style w:type="paragraph" w:styleId="1CStyle0">
    <w:name w:val="1CStyle0"/>
    <w:basedOn w:val="Normal"/>
    <w:pPr>
      <w:jc w:val="center"/>
      <w:rPr/>
    </w:pPr>
  </w:style>
  <w:style w:type="paragraph" w:styleId="1CStyle5">
    <w:name w:val="1CStyle5"/>
    <w:basedOn w:val="Normal"/>
    <w:pPr>
      <w:jc w:val="center"/>
      <w:rPr>
        <w:rFonts w:ascii="Arial" w:hAnsi="Arial"/>
        <w:b/>
        <w:sz w:val="16"/>
      </w:rPr>
    </w:pPr>
  </w:style>
  <w:style w:type="paragraph" w:styleId="1CStyle111">
    <w:name w:val="1CStyle111"/>
    <w:basedOn w:val="Normal"/>
    <w:pPr>
      <w:wordWrap w:val="0"/>
      <w:jc w:val="center"/>
      <w:rPr/>
    </w:pPr>
  </w:style>
  <w:style w:type="paragraph" w:styleId="1CStyle9">
    <w:name w:val="1CStyle9"/>
    <w:basedOn w:val="Normal"/>
    <w:pPr>
      <w:wordWrap w:val="1"/>
      <w:jc w:val="center"/>
      <w:rPr/>
    </w:pPr>
  </w:style>
  <w:style w:type="paragraph" w:styleId="1CStyle67">
    <w:name w:val="1CStyle67"/>
    <w:basedOn w:val="Normal"/>
    <w:pPr>
      <w:wordWrap w:val="1"/>
      <w:jc w:val="center"/>
      <w:rPr>
        <w:rFonts w:ascii="Arial" w:hAnsi="Arial"/>
        <w:sz w:val="14"/>
      </w:rPr>
    </w:pPr>
  </w:style>
  <w:style w:type="paragraph" w:styleId="1CStyle107">
    <w:name w:val="1CStyle107"/>
    <w:basedOn w:val="Normal"/>
    <w:pPr>
      <w:wordWrap w:val="1"/>
      <w:jc w:val="center"/>
      <w:rPr>
        <w:rFonts w:ascii="Arial" w:hAnsi="Arial"/>
        <w:b/>
        <w:sz w:val="18"/>
      </w:rPr>
    </w:pPr>
  </w:style>
  <w:style w:type="paragraph" w:styleId="1CStyle92">
    <w:name w:val="1CStyle92"/>
    <w:basedOn w:val="Normal"/>
    <w:pPr>
      <w:wordWrap w:val="1"/>
      <w:jc w:val="center"/>
      <w:rPr>
        <w:rFonts w:ascii="Arial" w:hAnsi="Arial"/>
        <w:b/>
        <w:sz w:val="18"/>
      </w:rPr>
    </w:pPr>
  </w:style>
  <w:style w:type="paragraph" w:styleId="1CStyle8">
    <w:name w:val="1CStyle8"/>
    <w:basedOn w:val="Normal"/>
    <w:pPr>
      <w:wordWrap w:val="1"/>
      <w:jc w:val="center"/>
      <w:rPr/>
    </w:pPr>
  </w:style>
  <w:style w:type="paragraph" w:styleId="1CStyle54">
    <w:name w:val="1CStyle54"/>
    <w:basedOn w:val="Normal"/>
    <w:pPr>
      <w:wordWrap w:val="1"/>
      <w:jc w:val="center"/>
      <w:rPr>
        <w:rFonts w:ascii="Arial" w:hAnsi="Arial"/>
        <w:b/>
        <w:sz w:val="18"/>
      </w:rPr>
    </w:pPr>
  </w:style>
  <w:style w:type="paragraph" w:styleId="1CStyle50">
    <w:name w:val="1CStyle50"/>
    <w:basedOn w:val="Normal"/>
    <w:pPr>
      <w:wordWrap w:val="1"/>
      <w:jc w:val="center"/>
      <w:rPr>
        <w:rFonts w:ascii="Arial" w:hAnsi="Arial"/>
        <w:sz w:val="14"/>
      </w:rPr>
    </w:pPr>
  </w:style>
  <w:style w:type="paragraph" w:styleId="1CStyle46">
    <w:name w:val="1CStyle46"/>
    <w:basedOn w:val="Normal"/>
    <w:pPr>
      <w:wordWrap w:val="1"/>
      <w:jc w:val="center"/>
      <w:rPr>
        <w:rFonts w:ascii="Arial" w:hAnsi="Arial"/>
        <w:sz w:val="18"/>
      </w:rPr>
    </w:pPr>
  </w:style>
  <w:style w:type="paragraph" w:styleId="1CStyle97">
    <w:name w:val="1CStyle97"/>
    <w:basedOn w:val="Normal"/>
    <w:pPr>
      <w:wordWrap w:val="1"/>
      <w:jc w:val="center"/>
      <w:rPr>
        <w:rFonts w:ascii="Arial" w:hAnsi="Arial"/>
        <w:b/>
        <w:sz w:val="18"/>
      </w:rPr>
    </w:pPr>
  </w:style>
  <w:style w:type="paragraph" w:styleId="1CStyle-1">
    <w:name w:val="1CStyle-1"/>
    <w:basedOn w:val="Normal"/>
    <w:pPr>
      <w:wordWrap w:val="1"/>
      <w:jc w:val="center"/>
      <w:rPr/>
    </w:pPr>
  </w:style>
  <w:style w:type="paragraph" w:styleId="1CStyle4">
    <w:name w:val="1CStyle4"/>
    <w:basedOn w:val="Normal"/>
    <w:pPr>
      <w:wordWrap w:val="1"/>
      <w:jc w:val="center"/>
      <w:rPr>
        <w:rFonts w:ascii="Arial" w:hAnsi="Arial"/>
        <w:b/>
        <w:sz w:val="16"/>
      </w:rPr>
    </w:pPr>
  </w:style>
  <w:style w:type="paragraph" w:styleId="1CStyle45">
    <w:name w:val="1CStyle45"/>
    <w:basedOn w:val="Normal"/>
    <w:pPr>
      <w:wordWrap w:val="1"/>
      <w:jc w:val="center"/>
      <w:rPr>
        <w:rFonts w:ascii="Arial" w:hAnsi="Arial"/>
        <w:sz w:val="18"/>
      </w:rPr>
    </w:pPr>
  </w:style>
  <w:style w:type="paragraph" w:styleId="1CStyle17">
    <w:name w:val="1CStyle17"/>
    <w:basedOn w:val="Normal"/>
    <w:pPr>
      <w:jc w:val="center"/>
      <w:rPr>
        <w:rFonts w:ascii="Arial" w:hAnsi="Arial"/>
        <w:sz w:val="16"/>
      </w:rPr>
    </w:pPr>
  </w:style>
  <w:style w:type="paragraph" w:styleId="1CStyle34">
    <w:name w:val="1CStyle34"/>
    <w:basedOn w:val="Normal"/>
    <w:pPr>
      <w:jc w:val="center"/>
      <w:rPr>
        <w:rFonts w:ascii="Arial" w:hAnsi="Arial"/>
        <w:sz w:val="16"/>
      </w:rPr>
    </w:pPr>
  </w:style>
  <w:style w:type="paragraph" w:styleId="1CStyle44">
    <w:name w:val="1CStyle44"/>
    <w:basedOn w:val="Normal"/>
    <w:pPr>
      <w:jc w:val="center"/>
      <w:rPr>
        <w:rFonts w:ascii="Arial" w:hAnsi="Arial"/>
        <w:sz w:val="16"/>
      </w:rPr>
    </w:pPr>
  </w:style>
  <w:style w:type="paragraph" w:styleId="1CStyle25">
    <w:name w:val="1CStyle25"/>
    <w:basedOn w:val="Normal"/>
    <w:pPr>
      <w:jc w:val="right"/>
      <w:rPr>
        <w:rFonts w:ascii="Arial" w:hAnsi="Arial"/>
        <w:sz w:val="16"/>
      </w:rPr>
    </w:pPr>
  </w:style>
  <w:style w:type="paragraph" w:styleId="1CStyle28">
    <w:name w:val="1CStyle28"/>
    <w:basedOn w:val="Normal"/>
    <w:pPr>
      <w:wordWrap w:val="1"/>
      <w:jc w:val="center"/>
      <w:rPr>
        <w:rFonts w:ascii="Arial" w:hAnsi="Arial"/>
        <w:sz w:val="16"/>
      </w:rPr>
    </w:pPr>
  </w:style>
  <w:style w:type="paragraph" w:styleId="1CStyle30">
    <w:name w:val="1CStyle30"/>
    <w:basedOn w:val="Normal"/>
    <w:pPr>
      <w:wordWrap w:val="1"/>
      <w:jc w:val="center"/>
      <w:rPr>
        <w:rFonts w:ascii="Arial" w:hAnsi="Arial"/>
        <w:sz w:val="16"/>
      </w:rPr>
    </w:pPr>
  </w:style>
  <w:style w:type="paragraph" w:styleId="1CStyle40">
    <w:name w:val="1CStyle40"/>
    <w:basedOn w:val="Normal"/>
    <w:pPr>
      <w:wordWrap w:val="1"/>
      <w:jc w:val="center"/>
      <w:rPr>
        <w:rFonts w:ascii="Arial" w:hAnsi="Arial"/>
        <w:sz w:val="16"/>
      </w:rPr>
    </w:pPr>
  </w:style>
  <w:style w:type="paragraph" w:styleId="1CStyle11">
    <w:name w:val="1CStyle11"/>
    <w:basedOn w:val="Normal"/>
    <w:pPr>
      <w:wordWrap w:val="1"/>
      <w:jc w:val="center"/>
      <w:rPr>
        <w:rFonts w:ascii="Arial" w:hAnsi="Arial"/>
        <w:b/>
        <w:sz w:val="18"/>
      </w:rPr>
    </w:pPr>
  </w:style>
  <w:style w:type="paragraph" w:styleId="1CStyle15">
    <w:name w:val="1CStyle15"/>
    <w:basedOn w:val="Normal"/>
    <w:pPr>
      <w:wordWrap w:val="1"/>
      <w:jc w:val="right"/>
      <w:rPr>
        <w:rFonts w:ascii="Arial" w:hAnsi="Arial"/>
        <w:sz w:val="16"/>
      </w:rPr>
    </w:pPr>
  </w:style>
  <w:style w:type="paragraph" w:styleId="1CStyle35">
    <w:name w:val="1CStyle35"/>
    <w:basedOn w:val="Normal"/>
    <w:pPr>
      <w:jc w:val="center"/>
      <w:rPr>
        <w:rFonts w:ascii="Arial" w:hAnsi="Arial"/>
        <w:sz w:val="16"/>
      </w:rPr>
    </w:pPr>
  </w:style>
  <w:style w:type="paragraph" w:styleId="1CStyle33">
    <w:name w:val="1CStyle33"/>
    <w:basedOn w:val="Normal"/>
    <w:pPr>
      <w:jc w:val="center"/>
      <w:rPr>
        <w:rFonts w:ascii="Arial" w:hAnsi="Arial"/>
        <w:sz w:val="16"/>
      </w:rPr>
    </w:pPr>
  </w:style>
  <w:style w:type="paragraph" w:styleId="1CStyle41">
    <w:name w:val="1CStyle41"/>
    <w:basedOn w:val="Normal"/>
    <w:pPr>
      <w:jc w:val="center"/>
      <w:rPr>
        <w:rFonts w:ascii="Arial" w:hAnsi="Arial"/>
        <w:sz w:val="16"/>
      </w:rPr>
    </w:pPr>
  </w:style>
  <w:style w:type="paragraph" w:styleId="1CStyle42">
    <w:name w:val="1CStyle42"/>
    <w:basedOn w:val="Normal"/>
    <w:pPr>
      <w:jc w:val="center"/>
      <w:rPr>
        <w:rFonts w:ascii="Arial" w:hAnsi="Arial"/>
        <w:sz w:val="16"/>
      </w:rPr>
    </w:pPr>
  </w:style>
  <w:style w:type="paragraph" w:styleId="1CStyle43">
    <w:name w:val="1CStyle43"/>
    <w:basedOn w:val="Normal"/>
    <w:pPr>
      <w:jc w:val="center"/>
      <w:rPr>
        <w:rFonts w:ascii="Arial" w:hAnsi="Arial"/>
        <w:sz w:val="16"/>
      </w:rPr>
    </w:pPr>
  </w:style>
  <w:style w:type="paragraph" w:styleId="1CStyle18">
    <w:name w:val="1CStyle18"/>
    <w:basedOn w:val="Normal"/>
    <w:pPr>
      <w:jc w:val="right"/>
      <w:rPr>
        <w:rFonts w:ascii="Arial" w:hAnsi="Arial"/>
        <w:sz w:val="16"/>
      </w:rPr>
    </w:pPr>
  </w:style>
  <w:style w:type="paragraph" w:styleId="1CStyle14">
    <w:name w:val="1CStyle14"/>
    <w:basedOn w:val="Normal"/>
    <w:pPr>
      <w:jc w:val="center"/>
      <w:rPr>
        <w:rFonts w:ascii="Arial" w:hAnsi="Arial"/>
        <w:sz w:val="16"/>
      </w:rPr>
    </w:pPr>
  </w:style>
  <w:style w:type="paragraph" w:styleId="1CStyle12">
    <w:name w:val="1CStyle12"/>
    <w:basedOn w:val="Normal"/>
    <w:pPr>
      <w:jc w:val="center"/>
      <w:rPr>
        <w:rFonts w:ascii="Arial" w:hAnsi="Arial"/>
        <w:sz w:val="16"/>
      </w:rPr>
    </w:pPr>
  </w:style>
  <w:style w:type="paragraph" w:styleId="1CStyle36">
    <w:name w:val="1CStyle36"/>
    <w:basedOn w:val="Normal"/>
    <w:pPr>
      <w:jc w:val="center"/>
      <w:rPr>
        <w:rFonts w:ascii="Arial" w:hAnsi="Arial"/>
        <w:sz w:val="16"/>
      </w:rPr>
    </w:pPr>
  </w:style>
  <w:style w:type="paragraph" w:styleId="1CStyle32">
    <w:name w:val="1CStyle32"/>
    <w:basedOn w:val="Normal"/>
    <w:pPr>
      <w:wordWrap w:val="1"/>
      <w:jc w:val="center"/>
      <w:rPr>
        <w:rFonts w:ascii="Arial" w:hAnsi="Arial"/>
        <w:sz w:val="16"/>
      </w:rPr>
    </w:pPr>
  </w:style>
  <w:style w:type="paragraph" w:styleId="1CStyle20">
    <w:name w:val="1CStyle20"/>
    <w:basedOn w:val="Normal"/>
    <w:pPr>
      <w:wordWrap w:val="1"/>
      <w:jc w:val="center"/>
      <w:rPr>
        <w:rFonts w:ascii="Arial" w:hAnsi="Arial"/>
        <w:sz w:val="16"/>
      </w:rPr>
    </w:pPr>
  </w:style>
  <w:style w:type="paragraph" w:styleId="1CStyle23">
    <w:name w:val="1CStyle23"/>
    <w:basedOn w:val="Normal"/>
    <w:pPr>
      <w:wordWrap w:val="1"/>
      <w:jc w:val="center"/>
      <w:rPr>
        <w:rFonts w:ascii="Arial" w:hAnsi="Arial"/>
        <w:sz w:val="16"/>
      </w:rPr>
    </w:pPr>
  </w:style>
  <w:style w:type="paragraph" w:styleId="1CStyle27">
    <w:name w:val="1CStyle27"/>
    <w:basedOn w:val="Normal"/>
    <w:pPr>
      <w:wordWrap w:val="1"/>
      <w:jc w:val="center"/>
      <w:rPr>
        <w:rFonts w:ascii="Arial" w:hAnsi="Arial"/>
        <w:sz w:val="16"/>
      </w:rPr>
    </w:pPr>
  </w:style>
  <w:style w:type="paragraph" w:styleId="1CStyle13">
    <w:name w:val="1CStyle13"/>
    <w:basedOn w:val="Normal"/>
    <w:pPr>
      <w:wordWrap w:val="1"/>
      <w:jc w:val="right"/>
      <w:rPr>
        <w:rFonts w:ascii="Arial" w:hAnsi="Arial"/>
        <w:sz w:val="16"/>
      </w:rPr>
    </w:pPr>
  </w:style>
  <w:style w:type="paragraph" w:styleId="1CStyle47">
    <w:name w:val="1CStyle47"/>
    <w:basedOn w:val="Normal"/>
    <w:pPr>
      <w:wordWrap w:val="1"/>
      <w:jc w:val="center"/>
      <w:rPr>
        <w:rFonts w:ascii="Arial" w:hAnsi="Arial"/>
        <w:sz w:val="18"/>
      </w:rPr>
    </w:pPr>
  </w:style>
  <w:style w:type="paragraph" w:styleId="1CStyle69">
    <w:name w:val="1CStyle69"/>
    <w:basedOn w:val="Normal"/>
    <w:pPr>
      <w:wordWrap w:val="1"/>
      <w:jc w:val="center"/>
      <w:rPr>
        <w:rFonts w:ascii="Arial" w:hAnsi="Arial"/>
        <w:sz w:val="18"/>
      </w:rPr>
    </w:pPr>
  </w:style>
  <w:style w:type="paragraph" w:styleId="1CStyle49">
    <w:name w:val="1CStyle49"/>
    <w:basedOn w:val="Normal"/>
    <w:pPr>
      <w:wordWrap w:val="1"/>
      <w:jc w:val="center"/>
      <w:rPr>
        <w:rFonts w:ascii="Arial" w:hAnsi="Arial"/>
        <w:sz w:val="16"/>
      </w:rPr>
    </w:pPr>
  </w:style>
  <w:style w:type="paragraph" w:styleId="1CStyle48">
    <w:name w:val="1CStyle48"/>
    <w:basedOn w:val="Normal"/>
    <w:pPr>
      <w:wordWrap w:val="1"/>
      <w:jc w:val="center"/>
      <w:rPr>
        <w:rFonts w:ascii="Arial" w:hAnsi="Arial"/>
        <w:sz w:val="16"/>
      </w:rPr>
    </w:pPr>
  </w:style>
  <w:style w:type="paragraph" w:styleId="1CStyle38">
    <w:name w:val="1CStyle38"/>
    <w:basedOn w:val="Normal"/>
    <w:pPr>
      <w:jc w:val="center"/>
      <w:rPr>
        <w:rFonts w:ascii="Arial" w:hAnsi="Arial"/>
        <w:sz w:val="16"/>
      </w:rPr>
    </w:pPr>
  </w:style>
  <w:style w:type="paragraph" w:styleId="1CStyle26">
    <w:name w:val="1CStyle26"/>
    <w:basedOn w:val="Normal"/>
    <w:pPr>
      <w:jc w:val="center"/>
      <w:rPr>
        <w:rFonts w:ascii="Arial" w:hAnsi="Arial"/>
        <w:sz w:val="16"/>
      </w:rPr>
    </w:pPr>
  </w:style>
  <w:style w:type="paragraph" w:styleId="1CStyle29">
    <w:name w:val="1CStyle29"/>
    <w:basedOn w:val="Normal"/>
    <w:pPr>
      <w:jc w:val="center"/>
      <w:rPr>
        <w:rFonts w:ascii="Arial" w:hAnsi="Arial"/>
        <w:sz w:val="16"/>
      </w:rPr>
    </w:pPr>
  </w:style>
  <w:style w:type="paragraph" w:styleId="1CStyle21">
    <w:name w:val="1CStyle21"/>
    <w:basedOn w:val="Normal"/>
    <w:pPr>
      <w:wordWrap w:val="1"/>
      <w:jc w:val="center"/>
      <w:rPr>
        <w:rFonts w:ascii="Arial" w:hAnsi="Arial"/>
        <w:sz w:val="16"/>
      </w:rPr>
    </w:pPr>
  </w:style>
  <w:style w:type="paragraph" w:styleId="1CStyle22">
    <w:name w:val="1CStyle22"/>
    <w:basedOn w:val="Normal"/>
    <w:pPr>
      <w:jc w:val="center"/>
      <w:rPr>
        <w:rFonts w:ascii="Arial" w:hAnsi="Arial"/>
        <w:sz w:val="16"/>
      </w:rPr>
    </w:pPr>
  </w:style>
  <w:style w:type="paragraph" w:styleId="1CStyle39">
    <w:name w:val="1CStyle39"/>
    <w:basedOn w:val="Normal"/>
    <w:pPr>
      <w:jc w:val="center"/>
      <w:rPr>
        <w:rFonts w:ascii="Arial" w:hAnsi="Arial"/>
        <w:sz w:val="16"/>
      </w:rPr>
    </w:pPr>
  </w:style>
  <w:style w:type="paragraph" w:styleId="1CStyle37">
    <w:name w:val="1CStyle37"/>
    <w:basedOn w:val="Normal"/>
    <w:pPr>
      <w:wordWrap w:val="1"/>
      <w:jc w:val="center"/>
      <w:rPr>
        <w:rFonts w:ascii="Arial" w:hAnsi="Arial"/>
        <w:sz w:val="16"/>
      </w:rPr>
    </w:pPr>
  </w:style>
  <w:style w:type="paragraph" w:styleId="1CStyle24">
    <w:name w:val="1CStyle24"/>
    <w:basedOn w:val="Normal"/>
    <w:pPr>
      <w:wordWrap w:val="1"/>
      <w:jc w:val="center"/>
      <w:rPr>
        <w:rFonts w:ascii="Arial" w:hAnsi="Arial"/>
        <w:sz w:val="16"/>
      </w:rPr>
    </w:pPr>
  </w:style>
  <w:style w:type="paragraph" w:styleId="1CStyle89">
    <w:name w:val="1CStyle89"/>
    <w:basedOn w:val="Normal"/>
    <w:pPr>
      <w:jc w:val="right"/>
      <w:rPr/>
    </w:pPr>
  </w:style>
  <w:style w:type="paragraph" w:styleId="1CStyle90">
    <w:name w:val="1CStyle90"/>
    <w:basedOn w:val="Normal"/>
    <w:pPr>
      <w:jc w:val="right"/>
      <w:rPr/>
    </w:pPr>
  </w:style>
  <w:style w:type="paragraph" w:styleId="1CStyle60">
    <w:name w:val="1CStyle60"/>
    <w:basedOn w:val="Normal"/>
    <w:pPr>
      <w:jc w:val="right"/>
      <w:rPr/>
    </w:pPr>
  </w:style>
  <w:style w:type="paragraph" w:styleId="1CStyle82">
    <w:name w:val="1CStyle82"/>
    <w:basedOn w:val="Normal"/>
    <w:pPr>
      <w:jc w:val="right"/>
      <w:rPr/>
    </w:pPr>
  </w:style>
  <w:style w:type="paragraph" w:styleId="1CStyle62">
    <w:name w:val="1CStyle62"/>
    <w:basedOn w:val="Normal"/>
    <w:pPr>
      <w:jc w:val="right"/>
      <w:rPr/>
    </w:pPr>
  </w:style>
  <w:style w:type="paragraph" w:styleId="1CStyle83">
    <w:name w:val="1CStyle83"/>
    <w:basedOn w:val="Normal"/>
    <w:pPr>
      <w:jc w:val="right"/>
      <w:rPr/>
    </w:pPr>
  </w:style>
  <w:style w:type="paragraph" w:styleId="1CStyle85">
    <w:name w:val="1CStyle85"/>
    <w:basedOn w:val="Normal"/>
    <w:pPr>
      <w:jc w:val="right"/>
      <w:rPr/>
    </w:pPr>
  </w:style>
  <w:style w:type="paragraph" w:styleId="1CStyle86">
    <w:name w:val="1CStyle86"/>
    <w:basedOn w:val="Normal"/>
    <w:pPr>
      <w:jc w:val="right"/>
      <w:rPr/>
    </w:pPr>
  </w:style>
  <w:style w:type="paragraph" w:styleId="1CStyle61">
    <w:name w:val="1CStyle61"/>
    <w:basedOn w:val="Normal"/>
    <w:pPr>
      <w:jc w:val="right"/>
      <w:rPr/>
    </w:pPr>
  </w:style>
  <w:style w:type="paragraph" w:styleId="1CStyle81">
    <w:name w:val="1CStyle81"/>
    <w:basedOn w:val="Normal"/>
    <w:pPr>
      <w:jc w:val="right"/>
      <w:rPr/>
    </w:pPr>
  </w:style>
  <w:style w:type="paragraph" w:styleId="1CStyle88">
    <w:name w:val="1CStyle88"/>
    <w:basedOn w:val="Normal"/>
    <w:pPr>
      <w:jc w:val="right"/>
      <w:rPr/>
    </w:pPr>
  </w:style>
  <w:style w:type="paragraph" w:styleId="1CStyle66">
    <w:name w:val="1CStyle66"/>
    <w:basedOn w:val="Normal"/>
    <w:pPr>
      <w:jc w:val="right"/>
      <w:rPr/>
    </w:pPr>
  </w:style>
  <w:style w:type="paragraph" w:styleId="1CStyle80">
    <w:name w:val="1CStyle80"/>
    <w:basedOn w:val="Normal"/>
    <w:pPr>
      <w:jc w:val="right"/>
      <w:rPr/>
    </w:pPr>
  </w:style>
  <w:style w:type="paragraph" w:styleId="1CStyle105">
    <w:name w:val="1CStyle105"/>
    <w:basedOn w:val="Normal"/>
    <w:pPr>
      <w:jc w:val="right"/>
      <w:rPr>
        <w:rFonts w:ascii="Arial" w:hAnsi="Arial"/>
        <w:sz w:val="16"/>
      </w:rPr>
    </w:pPr>
  </w:style>
  <w:style w:type="paragraph" w:styleId="1CStyle106">
    <w:name w:val="1CStyle106"/>
    <w:basedOn w:val="Normal"/>
    <w:pPr>
      <w:jc w:val="right"/>
      <w:rPr>
        <w:rFonts w:ascii="Arial" w:hAnsi="Arial"/>
        <w:sz w:val="16"/>
      </w:rPr>
    </w:pPr>
  </w:style>
  <w:style w:type="paragraph" w:styleId="1CStyle104">
    <w:name w:val="1CStyle104"/>
    <w:basedOn w:val="Normal"/>
    <w:pPr>
      <w:jc w:val="right"/>
      <w:rPr>
        <w:rFonts w:ascii="Arial" w:hAnsi="Arial"/>
        <w:sz w:val="16"/>
      </w:rPr>
    </w:pPr>
  </w:style>
  <w:style w:type="paragraph" w:styleId="1CStyle103">
    <w:name w:val="1CStyle103"/>
    <w:basedOn w:val="Normal"/>
    <w:pPr>
      <w:jc w:val="right"/>
      <w:rPr>
        <w:rFonts w:ascii="Arial" w:hAnsi="Arial"/>
        <w:sz w:val="16"/>
      </w:rPr>
    </w:pPr>
  </w:style>
  <w:style w:type="paragraph" w:styleId="1CStyle74">
    <w:name w:val="1CStyle74"/>
    <w:basedOn w:val="Normal"/>
    <w:pPr>
      <w:jc w:val="right"/>
      <w:rPr/>
    </w:pPr>
  </w:style>
  <w:style w:type="paragraph" w:styleId="1CStyle75">
    <w:name w:val="1CStyle75"/>
    <w:basedOn w:val="Normal"/>
    <w:pPr>
      <w:jc w:val="right"/>
      <w:rPr/>
    </w:pPr>
  </w:style>
  <w:style w:type="paragraph" w:styleId="1CStyle73">
    <w:name w:val="1CStyle73"/>
    <w:basedOn w:val="Normal"/>
    <w:pPr>
      <w:jc w:val="right"/>
      <w:rPr/>
    </w:pPr>
  </w:style>
  <w:style w:type="paragraph" w:styleId="1CStyle72">
    <w:name w:val="1CStyle72"/>
    <w:basedOn w:val="Normal"/>
    <w:pPr>
      <w:jc w:val="right"/>
      <w:rPr/>
    </w:pPr>
  </w:style>
  <w:style w:type="paragraph" w:styleId="1CStyle19">
    <w:name w:val="1CStyle19"/>
    <w:basedOn w:val="Normal"/>
    <w:pPr>
      <w:jc w:val="center"/>
      <w:rPr>
        <w:rFonts w:ascii="Arial" w:hAnsi="Arial"/>
        <w:sz w:val="16"/>
      </w:rPr>
    </w:pPr>
  </w:style>
  <w:style w:type="paragraph" w:styleId="1CStyle16">
    <w:name w:val="1CStyle16"/>
    <w:basedOn w:val="Normal"/>
    <w:pPr>
      <w:jc w:val="center"/>
      <w:rPr>
        <w:rFonts w:ascii="Arial" w:hAnsi="Arial"/>
        <w:sz w:val="16"/>
      </w:rPr>
    </w:pPr>
  </w:style>
  <w:style w:type="paragraph" w:styleId="1CStyle1">
    <w:name w:val="1CStyle1"/>
    <w:basedOn w:val="Normal"/>
    <w:pPr>
      <w:jc w:val="right"/>
      <w:rPr/>
    </w:pPr>
  </w:style>
  <w:style w:type="paragraph" w:styleId="1CStyle2">
    <w:name w:val="1CStyle2"/>
    <w:basedOn w:val="Normal"/>
    <w:pPr>
      <w:jc w:val="right"/>
      <w:rPr/>
    </w:pPr>
  </w:style>
  <w:style w:type="paragraph" w:styleId="1CStyle6">
    <w:name w:val="1CStyle6"/>
    <w:basedOn w:val="Normal"/>
    <w:pPr>
      <w:jc w:val="right"/>
      <w:rPr>
        <w:rFonts w:ascii="Arial" w:hAnsi="Arial"/>
        <w:b/>
        <w:sz w:val="16"/>
      </w:rPr>
    </w:pPr>
  </w:style>
  <w:style w:type="paragraph" w:styleId="1CStyle3">
    <w:name w:val="1CStyle3"/>
    <w:basedOn w:val="Normal"/>
    <w:pPr>
      <w:jc w:val="right"/>
      <w:rPr/>
    </w:pPr>
  </w:style>
  <w:style w:type="paragraph" w:styleId="1CStyle7">
    <w:name w:val="1CStyle7"/>
    <w:basedOn w:val="Normal"/>
    <w:pPr>
      <w:jc w:val="right"/>
      <w:rPr>
        <w:rFonts w:ascii="Arial" w:hAnsi="Arial"/>
        <w:b/>
        <w:sz w:val="16"/>
      </w:rPr>
    </w:pPr>
  </w:style>
  <w:style w:type="paragraph" w:styleId="1CStyle31">
    <w:name w:val="1CStyle31"/>
    <w:basedOn w:val="Normal"/>
    <w:pPr>
      <w:ind w:left="0"/>
      <w:jc w:val="right"/>
      <w:rPr>
        <w:rFonts w:ascii="Arial" w:hAnsi="Arial"/>
        <w:sz w:val="16"/>
      </w:rPr>
    </w:pPr>
  </w:style>
  <w:style w:type="paragraph" w:styleId="1CStyle99">
    <w:name w:val="1CStyle99"/>
    <w:basedOn w:val="Normal"/>
    <w:pPr>
      <w:wordWrap w:val="1"/>
      <w:jc w:val="center"/>
      <w:rPr>
        <w:rFonts w:ascii="Arial" w:hAnsi="Arial"/>
        <w:sz w:val="18"/>
      </w:rPr>
    </w:pPr>
  </w:style>
  <w:style w:type="paragraph" w:styleId="1CStyle96">
    <w:name w:val="1CStyle96"/>
    <w:basedOn w:val="Normal"/>
    <w:pPr>
      <w:wordWrap w:val="1"/>
      <w:jc w:val="center"/>
      <w:rPr/>
    </w:pPr>
  </w:style>
  <w:style w:type="paragraph" w:styleId="1CStyle91">
    <w:name w:val="1CStyle91"/>
    <w:basedOn w:val="Normal"/>
    <w:pPr>
      <w:wordWrap w:val="1"/>
      <w:jc w:val="center"/>
      <w:rPr>
        <w:rFonts w:ascii="Arial" w:hAnsi="Arial"/>
        <w:sz w:val="18"/>
      </w:rPr>
    </w:pPr>
  </w:style>
  <w:style w:type="paragraph" w:styleId="1CStyle58">
    <w:name w:val="1CStyle58"/>
    <w:basedOn w:val="Normal"/>
    <w:pPr>
      <w:wordWrap w:val="1"/>
      <w:jc w:val="center"/>
      <w:rPr>
        <w:rFonts w:ascii="Arial" w:hAnsi="Arial"/>
        <w:sz w:val="18"/>
      </w:rPr>
    </w:pPr>
  </w:style>
  <w:style w:type="paragraph" w:styleId="1CStyle98">
    <w:name w:val="1CStyle98"/>
    <w:basedOn w:val="Normal"/>
    <w:pPr>
      <w:wordWrap w:val="1"/>
      <w:ind w:left="60"/>
      <w:jc w:val="center"/>
      <w:rPr>
        <w:rFonts w:ascii="Arial" w:hAnsi="Arial"/>
        <w:sz w:val="16"/>
      </w:rPr>
    </w:pPr>
  </w:style>
  <w:style w:type="paragraph" w:styleId="1CStyle63">
    <w:name w:val="1CStyle63"/>
    <w:basedOn w:val="Normal"/>
    <w:pPr>
      <w:wordWrap w:val="1"/>
      <w:ind w:left="60"/>
      <w:jc w:val="center"/>
      <w:rPr>
        <w:rFonts w:ascii="Arial" w:hAnsi="Arial"/>
        <w:sz w:val="16"/>
      </w:rPr>
    </w:pPr>
  </w:style>
  <w:style w:type="paragraph" w:styleId="1CStyle65">
    <w:name w:val="1CStyle65"/>
    <w:basedOn w:val="Normal"/>
    <w:pPr>
      <w:wordWrap w:val="1"/>
      <w:ind w:left="60"/>
      <w:jc w:val="center"/>
      <w:rPr>
        <w:rFonts w:ascii="Arial" w:hAnsi="Arial"/>
        <w:sz w:val="16"/>
      </w:rPr>
    </w:pPr>
  </w:style>
  <w:style w:type="paragraph" w:styleId="1CStyle100">
    <w:name w:val="1CStyle100"/>
    <w:basedOn w:val="Normal"/>
    <w:pPr>
      <w:wordWrap w:val="1"/>
      <w:ind w:left="80"/>
      <w:jc w:val="center"/>
      <w:rPr>
        <w:rFonts w:ascii="Arial" w:hAnsi="Arial"/>
        <w:sz w:val="16"/>
      </w:rPr>
    </w:pPr>
  </w:style>
  <w:style w:type="paragraph" w:styleId="1CStyle70">
    <w:name w:val="1CStyle70"/>
    <w:basedOn w:val="Normal"/>
    <w:pPr>
      <w:wordWrap w:val="1"/>
      <w:ind w:left="60"/>
      <w:jc w:val="center"/>
      <w:rPr>
        <w:rFonts w:ascii="Arial" w:hAnsi="Arial"/>
        <w:sz w:val="16"/>
      </w:rPr>
    </w:p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</Relationships>
</file>